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36D" w:rsidRDefault="008A336D" w:rsidP="008A336D">
      <w:pPr>
        <w:spacing w:line="560" w:lineRule="exact"/>
        <w:rPr>
          <w:rFonts w:ascii="方正小标宋简体" w:eastAsia="方正小标宋简体" w:hAnsi="方正小标宋简体" w:cs="方正小标宋简体"/>
          <w:sz w:val="36"/>
          <w:szCs w:val="36"/>
        </w:rPr>
      </w:pPr>
      <w:bookmarkStart w:id="0" w:name="_Toc12978"/>
      <w:bookmarkStart w:id="1" w:name="_Toc8202"/>
      <w:r>
        <w:rPr>
          <w:rFonts w:ascii="方正小标宋简体" w:eastAsia="方正小标宋简体" w:hAnsi="方正小标宋简体" w:cs="方正小标宋简体" w:hint="eastAsia"/>
          <w:sz w:val="36"/>
          <w:szCs w:val="36"/>
        </w:rPr>
        <w:t xml:space="preserve"> </w:t>
      </w:r>
    </w:p>
    <w:p w:rsidR="008A336D" w:rsidRDefault="008A336D" w:rsidP="008A336D">
      <w:pPr>
        <w:spacing w:line="560" w:lineRule="exact"/>
        <w:jc w:val="center"/>
        <w:rPr>
          <w:rFonts w:ascii="方正小标宋简体" w:eastAsia="方正小标宋简体" w:hAnsi="方正小标宋简体" w:cs="方正小标宋简体"/>
          <w:sz w:val="36"/>
          <w:szCs w:val="36"/>
        </w:rPr>
      </w:pPr>
    </w:p>
    <w:bookmarkEnd w:id="0"/>
    <w:bookmarkEnd w:id="1"/>
    <w:p w:rsidR="004616FD" w:rsidRPr="004C5AF5" w:rsidRDefault="00CE0D41" w:rsidP="00671458">
      <w:pPr>
        <w:spacing w:line="360" w:lineRule="auto"/>
        <w:jc w:val="center"/>
        <w:textAlignment w:val="top"/>
        <w:rPr>
          <w:rFonts w:ascii="黑体" w:eastAsia="黑体" w:hAnsi="黑体" w:cs="方正小标宋简体"/>
          <w:spacing w:val="-10"/>
          <w:sz w:val="36"/>
          <w:szCs w:val="36"/>
        </w:rPr>
      </w:pPr>
      <w:r w:rsidRPr="004C5AF5">
        <w:rPr>
          <w:rFonts w:ascii="黑体" w:eastAsia="黑体" w:hAnsi="黑体" w:cs="方正小标宋简体" w:hint="eastAsia"/>
          <w:spacing w:val="-10"/>
          <w:sz w:val="36"/>
          <w:szCs w:val="36"/>
        </w:rPr>
        <w:t>关于《临猗县国土空间总体规划（</w:t>
      </w:r>
      <w:r w:rsidRPr="004C5AF5">
        <w:rPr>
          <w:rFonts w:ascii="黑体" w:eastAsia="黑体" w:hAnsi="黑体" w:cs="方正小标宋简体"/>
          <w:spacing w:val="-10"/>
          <w:sz w:val="36"/>
          <w:szCs w:val="36"/>
        </w:rPr>
        <w:t>2021</w:t>
      </w:r>
      <w:r w:rsidRPr="004C5AF5">
        <w:rPr>
          <w:rFonts w:ascii="黑体" w:eastAsia="黑体" w:hAnsi="黑体" w:cs="方正小标宋简体" w:hint="eastAsia"/>
          <w:spacing w:val="-10"/>
          <w:sz w:val="36"/>
          <w:szCs w:val="36"/>
        </w:rPr>
        <w:t>—</w:t>
      </w:r>
      <w:r w:rsidRPr="004C5AF5">
        <w:rPr>
          <w:rFonts w:ascii="黑体" w:eastAsia="黑体" w:hAnsi="黑体" w:cs="方正小标宋简体"/>
          <w:spacing w:val="-10"/>
          <w:sz w:val="36"/>
          <w:szCs w:val="36"/>
        </w:rPr>
        <w:t>2035</w:t>
      </w:r>
      <w:r w:rsidRPr="004C5AF5">
        <w:rPr>
          <w:rFonts w:ascii="黑体" w:eastAsia="黑体" w:hAnsi="黑体" w:cs="方正小标宋简体" w:hint="eastAsia"/>
          <w:spacing w:val="-10"/>
          <w:sz w:val="36"/>
          <w:szCs w:val="36"/>
        </w:rPr>
        <w:t>年）》的</w:t>
      </w:r>
    </w:p>
    <w:p w:rsidR="004616FD" w:rsidRPr="00671458" w:rsidRDefault="008A336D">
      <w:pPr>
        <w:spacing w:line="560" w:lineRule="exact"/>
        <w:jc w:val="center"/>
        <w:rPr>
          <w:rFonts w:ascii="黑体" w:eastAsia="黑体" w:hAnsi="黑体" w:cs="方正小标宋简体"/>
          <w:sz w:val="36"/>
          <w:szCs w:val="36"/>
        </w:rPr>
      </w:pPr>
      <w:r w:rsidRPr="00671458">
        <w:rPr>
          <w:rFonts w:ascii="黑体" w:eastAsia="黑体" w:hAnsi="黑体" w:cs="方正小标宋简体" w:hint="eastAsia"/>
          <w:sz w:val="36"/>
          <w:szCs w:val="36"/>
        </w:rPr>
        <w:t>公</w:t>
      </w:r>
      <w:r w:rsidR="00C842D5" w:rsidRPr="00671458">
        <w:rPr>
          <w:rFonts w:ascii="黑体" w:eastAsia="黑体" w:hAnsi="黑体" w:cs="方正小标宋简体" w:hint="eastAsia"/>
          <w:sz w:val="36"/>
          <w:szCs w:val="36"/>
        </w:rPr>
        <w:t xml:space="preserve">  </w:t>
      </w:r>
      <w:r w:rsidRPr="00671458">
        <w:rPr>
          <w:rFonts w:ascii="黑体" w:eastAsia="黑体" w:hAnsi="黑体" w:cs="方正小标宋简体" w:hint="eastAsia"/>
          <w:sz w:val="36"/>
          <w:szCs w:val="36"/>
        </w:rPr>
        <w:t>告</w:t>
      </w:r>
    </w:p>
    <w:p w:rsidR="00CA091C" w:rsidRPr="00671458" w:rsidRDefault="00CA091C">
      <w:pPr>
        <w:spacing w:line="560" w:lineRule="exact"/>
        <w:jc w:val="center"/>
        <w:rPr>
          <w:rFonts w:ascii="黑体" w:eastAsia="黑体" w:hAnsi="黑体" w:cs="方正小标宋简体"/>
          <w:sz w:val="36"/>
          <w:szCs w:val="36"/>
        </w:rPr>
      </w:pPr>
    </w:p>
    <w:p w:rsidR="004616FD" w:rsidRDefault="008A336D">
      <w:pPr>
        <w:spacing w:line="600" w:lineRule="atLeast"/>
        <w:ind w:firstLineChars="200" w:firstLine="672"/>
        <w:rPr>
          <w:rFonts w:ascii="Times New Roman" w:eastAsia="仿宋" w:hAnsi="Times New Roman"/>
          <w:color w:val="000000"/>
          <w:spacing w:val="8"/>
          <w:sz w:val="28"/>
          <w:szCs w:val="28"/>
          <w:shd w:val="clear" w:color="auto" w:fill="FFFFFF"/>
        </w:rPr>
      </w:pPr>
      <w:r>
        <w:rPr>
          <w:rFonts w:ascii="Times New Roman" w:eastAsia="仿宋" w:hAnsi="Times New Roman"/>
          <w:color w:val="000000"/>
          <w:spacing w:val="8"/>
          <w:sz w:val="32"/>
          <w:szCs w:val="32"/>
          <w:shd w:val="clear" w:color="auto" w:fill="FFFFFF"/>
        </w:rPr>
        <w:t>《临猗县国土空间总体规划（</w:t>
      </w:r>
      <w:r>
        <w:rPr>
          <w:rFonts w:ascii="Times New Roman" w:eastAsia="仿宋" w:hAnsi="Times New Roman"/>
          <w:color w:val="000000"/>
          <w:spacing w:val="8"/>
          <w:sz w:val="32"/>
          <w:szCs w:val="32"/>
          <w:shd w:val="clear" w:color="auto" w:fill="FFFFFF"/>
        </w:rPr>
        <w:t>2021—2035</w:t>
      </w:r>
      <w:r>
        <w:rPr>
          <w:rFonts w:ascii="Times New Roman" w:eastAsia="仿宋" w:hAnsi="Times New Roman"/>
          <w:color w:val="000000"/>
          <w:spacing w:val="8"/>
          <w:sz w:val="32"/>
          <w:szCs w:val="32"/>
          <w:shd w:val="clear" w:color="auto" w:fill="FFFFFF"/>
        </w:rPr>
        <w:t>年）》已经山西省人民政府批复同意，</w:t>
      </w:r>
      <w:r w:rsidR="00C842D5">
        <w:rPr>
          <w:rFonts w:ascii="Times New Roman" w:eastAsia="仿宋" w:hAnsi="Times New Roman" w:hint="eastAsia"/>
          <w:color w:val="000000"/>
          <w:spacing w:val="8"/>
          <w:sz w:val="32"/>
          <w:szCs w:val="32"/>
          <w:shd w:val="clear" w:color="auto" w:fill="FFFFFF"/>
        </w:rPr>
        <w:t>现将规划内容公告</w:t>
      </w:r>
      <w:r>
        <w:rPr>
          <w:rFonts w:ascii="Times New Roman" w:eastAsia="仿宋" w:hAnsi="Times New Roman"/>
          <w:color w:val="000000"/>
          <w:spacing w:val="8"/>
          <w:sz w:val="32"/>
          <w:szCs w:val="32"/>
          <w:shd w:val="clear" w:color="auto" w:fill="FFFFFF"/>
        </w:rPr>
        <w:t>如下：</w:t>
      </w:r>
    </w:p>
    <w:p w:rsidR="004616FD" w:rsidRDefault="008A336D" w:rsidP="00C842D5">
      <w:pPr>
        <w:spacing w:line="600" w:lineRule="atLeast"/>
        <w:ind w:firstLineChars="200" w:firstLine="674"/>
        <w:rPr>
          <w:rFonts w:ascii="仿宋" w:eastAsia="仿宋" w:hAnsi="仿宋" w:cs="仿宋"/>
          <w:b/>
          <w:bCs/>
          <w:color w:val="000000"/>
          <w:spacing w:val="8"/>
          <w:sz w:val="32"/>
          <w:szCs w:val="32"/>
          <w:shd w:val="clear" w:color="auto" w:fill="FFFFFF"/>
        </w:rPr>
      </w:pPr>
      <w:r>
        <w:rPr>
          <w:rFonts w:ascii="仿宋" w:eastAsia="仿宋" w:hAnsi="仿宋" w:cs="仿宋" w:hint="eastAsia"/>
          <w:b/>
          <w:bCs/>
          <w:color w:val="000000"/>
          <w:spacing w:val="8"/>
          <w:sz w:val="32"/>
          <w:szCs w:val="32"/>
          <w:shd w:val="clear" w:color="auto" w:fill="FFFFFF"/>
        </w:rPr>
        <w:t>一、规划范围</w:t>
      </w:r>
    </w:p>
    <w:p w:rsidR="004616FD" w:rsidRDefault="008A336D" w:rsidP="004C5AF5">
      <w:pPr>
        <w:widowControl/>
        <w:spacing w:line="600" w:lineRule="exact"/>
        <w:ind w:firstLineChars="200" w:firstLine="640"/>
        <w:rPr>
          <w:rFonts w:ascii="Times New Roman" w:eastAsia="仿宋" w:hAnsi="Times New Roman"/>
          <w:kern w:val="0"/>
          <w:sz w:val="32"/>
          <w:szCs w:val="32"/>
        </w:rPr>
      </w:pPr>
      <w:r>
        <w:rPr>
          <w:rFonts w:ascii="Times New Roman" w:eastAsia="仿宋" w:hAnsi="Times New Roman"/>
          <w:kern w:val="0"/>
          <w:sz w:val="32"/>
          <w:szCs w:val="32"/>
        </w:rPr>
        <w:t>规划范围包括县域和中心城区两个规划层次。</w:t>
      </w:r>
    </w:p>
    <w:p w:rsidR="004616FD" w:rsidRDefault="008A336D" w:rsidP="004C5AF5">
      <w:pPr>
        <w:widowControl/>
        <w:spacing w:line="600" w:lineRule="exact"/>
        <w:ind w:firstLineChars="200" w:firstLine="640"/>
        <w:rPr>
          <w:rFonts w:ascii="Times New Roman" w:eastAsia="仿宋" w:hAnsi="Times New Roman"/>
          <w:kern w:val="0"/>
          <w:sz w:val="32"/>
          <w:szCs w:val="32"/>
        </w:rPr>
      </w:pPr>
      <w:r>
        <w:rPr>
          <w:rFonts w:ascii="Times New Roman" w:eastAsia="仿宋" w:hAnsi="Times New Roman"/>
          <w:kern w:val="0"/>
          <w:sz w:val="32"/>
          <w:szCs w:val="32"/>
        </w:rPr>
        <w:t>县域：</w:t>
      </w:r>
      <w:r>
        <w:rPr>
          <w:rFonts w:ascii="Times New Roman" w:eastAsia="仿宋" w:hAnsi="Times New Roman" w:hint="eastAsia"/>
          <w:kern w:val="0"/>
          <w:sz w:val="32"/>
          <w:szCs w:val="32"/>
        </w:rPr>
        <w:t>临猗县行政管辖范围，</w:t>
      </w:r>
      <w:r>
        <w:rPr>
          <w:rFonts w:ascii="Times New Roman" w:eastAsia="仿宋" w:hAnsi="Times New Roman"/>
          <w:kern w:val="0"/>
          <w:sz w:val="32"/>
          <w:szCs w:val="32"/>
        </w:rPr>
        <w:t>总面积</w:t>
      </w:r>
      <w:r>
        <w:rPr>
          <w:rFonts w:ascii="Times New Roman" w:eastAsia="仿宋" w:hAnsi="Times New Roman" w:hint="eastAsia"/>
          <w:kern w:val="0"/>
          <w:sz w:val="32"/>
          <w:szCs w:val="32"/>
        </w:rPr>
        <w:t>1361.98</w:t>
      </w:r>
      <w:r>
        <w:rPr>
          <w:rFonts w:ascii="Times New Roman" w:eastAsia="仿宋" w:hAnsi="Times New Roman"/>
          <w:kern w:val="0"/>
          <w:sz w:val="32"/>
          <w:szCs w:val="32"/>
        </w:rPr>
        <w:t>平方千米。</w:t>
      </w:r>
    </w:p>
    <w:p w:rsidR="004616FD" w:rsidRDefault="008A336D" w:rsidP="004C5AF5">
      <w:pPr>
        <w:spacing w:line="600" w:lineRule="atLeast"/>
        <w:ind w:firstLineChars="200" w:firstLine="640"/>
        <w:rPr>
          <w:rFonts w:ascii="Times New Roman" w:eastAsia="仿宋" w:hAnsi="Times New Roman"/>
          <w:kern w:val="0"/>
          <w:sz w:val="32"/>
          <w:szCs w:val="32"/>
        </w:rPr>
      </w:pPr>
      <w:r>
        <w:rPr>
          <w:rFonts w:ascii="Times New Roman" w:eastAsia="仿宋" w:hAnsi="Times New Roman"/>
          <w:kern w:val="0"/>
          <w:sz w:val="32"/>
          <w:szCs w:val="32"/>
        </w:rPr>
        <w:t>中心城区：总面积</w:t>
      </w:r>
      <w:r>
        <w:rPr>
          <w:rFonts w:ascii="Times New Roman" w:eastAsia="仿宋" w:hAnsi="Times New Roman" w:hint="eastAsia"/>
          <w:kern w:val="0"/>
          <w:sz w:val="32"/>
          <w:szCs w:val="32"/>
        </w:rPr>
        <w:t>35.54</w:t>
      </w:r>
      <w:r>
        <w:rPr>
          <w:rFonts w:ascii="Times New Roman" w:eastAsia="仿宋" w:hAnsi="Times New Roman"/>
          <w:kern w:val="0"/>
          <w:sz w:val="32"/>
          <w:szCs w:val="32"/>
        </w:rPr>
        <w:t>平方千米，包括</w:t>
      </w:r>
      <w:r>
        <w:rPr>
          <w:rFonts w:ascii="Times New Roman" w:eastAsia="仿宋" w:hAnsi="Times New Roman" w:hint="eastAsia"/>
          <w:kern w:val="0"/>
          <w:sz w:val="32"/>
          <w:szCs w:val="32"/>
        </w:rPr>
        <w:t>临猗</w:t>
      </w:r>
      <w:r>
        <w:rPr>
          <w:rFonts w:ascii="Times New Roman" w:eastAsia="仿宋" w:hAnsi="Times New Roman"/>
          <w:kern w:val="0"/>
          <w:sz w:val="32"/>
          <w:szCs w:val="32"/>
        </w:rPr>
        <w:t>县人民政府驻地</w:t>
      </w:r>
      <w:r>
        <w:rPr>
          <w:rFonts w:ascii="Times New Roman" w:eastAsia="仿宋" w:hAnsi="Times New Roman" w:hint="eastAsia"/>
          <w:kern w:val="0"/>
          <w:sz w:val="32"/>
          <w:szCs w:val="32"/>
        </w:rPr>
        <w:t>猗氏</w:t>
      </w:r>
      <w:r>
        <w:rPr>
          <w:rFonts w:ascii="Times New Roman" w:eastAsia="仿宋" w:hAnsi="Times New Roman"/>
          <w:kern w:val="0"/>
          <w:sz w:val="32"/>
          <w:szCs w:val="32"/>
        </w:rPr>
        <w:t>镇的重点城镇发展区域</w:t>
      </w:r>
      <w:r>
        <w:rPr>
          <w:rFonts w:ascii="Times New Roman" w:eastAsia="仿宋" w:hAnsi="Times New Roman" w:hint="eastAsia"/>
          <w:kern w:val="0"/>
          <w:sz w:val="32"/>
          <w:szCs w:val="32"/>
        </w:rPr>
        <w:t>。</w:t>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二、规划期限</w:t>
      </w:r>
    </w:p>
    <w:p w:rsidR="004616FD" w:rsidRDefault="008A336D" w:rsidP="004C5AF5">
      <w:pPr>
        <w:spacing w:line="600" w:lineRule="atLeast"/>
        <w:ind w:firstLineChars="200" w:firstLine="640"/>
        <w:rPr>
          <w:rFonts w:ascii="Times New Roman" w:eastAsia="仿宋" w:hAnsi="Times New Roman"/>
          <w:kern w:val="0"/>
          <w:sz w:val="32"/>
          <w:szCs w:val="32"/>
        </w:rPr>
      </w:pPr>
      <w:r>
        <w:rPr>
          <w:rFonts w:ascii="Times New Roman" w:eastAsia="仿宋" w:hAnsi="Times New Roman" w:hint="eastAsia"/>
          <w:kern w:val="0"/>
          <w:sz w:val="32"/>
          <w:szCs w:val="32"/>
        </w:rPr>
        <w:t>本规划期限为</w:t>
      </w:r>
      <w:r>
        <w:rPr>
          <w:rFonts w:ascii="Times New Roman" w:eastAsia="仿宋" w:hAnsi="Times New Roman" w:hint="eastAsia"/>
          <w:kern w:val="0"/>
          <w:sz w:val="32"/>
          <w:szCs w:val="32"/>
        </w:rPr>
        <w:t>2021</w:t>
      </w:r>
      <w:r>
        <w:rPr>
          <w:rFonts w:ascii="Times New Roman" w:eastAsia="仿宋" w:hAnsi="Times New Roman" w:hint="eastAsia"/>
          <w:kern w:val="0"/>
          <w:sz w:val="32"/>
          <w:szCs w:val="32"/>
        </w:rPr>
        <w:t>年到</w:t>
      </w:r>
      <w:r>
        <w:rPr>
          <w:rFonts w:ascii="Times New Roman" w:eastAsia="仿宋" w:hAnsi="Times New Roman" w:hint="eastAsia"/>
          <w:kern w:val="0"/>
          <w:sz w:val="32"/>
          <w:szCs w:val="32"/>
        </w:rPr>
        <w:t>2035</w:t>
      </w:r>
      <w:r>
        <w:rPr>
          <w:rFonts w:ascii="Times New Roman" w:eastAsia="仿宋" w:hAnsi="Times New Roman" w:hint="eastAsia"/>
          <w:kern w:val="0"/>
          <w:sz w:val="32"/>
          <w:szCs w:val="32"/>
        </w:rPr>
        <w:t>年。基期年为</w:t>
      </w:r>
      <w:r>
        <w:rPr>
          <w:rFonts w:ascii="Times New Roman" w:eastAsia="仿宋" w:hAnsi="Times New Roman" w:hint="eastAsia"/>
          <w:kern w:val="0"/>
          <w:sz w:val="32"/>
          <w:szCs w:val="32"/>
        </w:rPr>
        <w:t>2020</w:t>
      </w:r>
      <w:r>
        <w:rPr>
          <w:rFonts w:ascii="Times New Roman" w:eastAsia="仿宋" w:hAnsi="Times New Roman" w:hint="eastAsia"/>
          <w:kern w:val="0"/>
          <w:sz w:val="32"/>
          <w:szCs w:val="32"/>
        </w:rPr>
        <w:t>年，近期目标年为</w:t>
      </w:r>
      <w:r>
        <w:rPr>
          <w:rFonts w:ascii="Times New Roman" w:eastAsia="仿宋" w:hAnsi="Times New Roman" w:hint="eastAsia"/>
          <w:kern w:val="0"/>
          <w:sz w:val="32"/>
          <w:szCs w:val="32"/>
        </w:rPr>
        <w:t>2025</w:t>
      </w:r>
      <w:r>
        <w:rPr>
          <w:rFonts w:ascii="Times New Roman" w:eastAsia="仿宋" w:hAnsi="Times New Roman" w:hint="eastAsia"/>
          <w:kern w:val="0"/>
          <w:sz w:val="32"/>
          <w:szCs w:val="32"/>
        </w:rPr>
        <w:t>年，规划目标年为</w:t>
      </w:r>
      <w:r>
        <w:rPr>
          <w:rFonts w:ascii="Times New Roman" w:eastAsia="仿宋" w:hAnsi="Times New Roman" w:hint="eastAsia"/>
          <w:kern w:val="0"/>
          <w:sz w:val="32"/>
          <w:szCs w:val="32"/>
        </w:rPr>
        <w:t>2035</w:t>
      </w:r>
      <w:r>
        <w:rPr>
          <w:rFonts w:ascii="Times New Roman" w:eastAsia="仿宋" w:hAnsi="Times New Roman" w:hint="eastAsia"/>
          <w:kern w:val="0"/>
          <w:sz w:val="32"/>
          <w:szCs w:val="32"/>
        </w:rPr>
        <w:t>年，远景展望至</w:t>
      </w:r>
      <w:r>
        <w:rPr>
          <w:rFonts w:ascii="Times New Roman" w:eastAsia="仿宋" w:hAnsi="Times New Roman" w:hint="eastAsia"/>
          <w:kern w:val="0"/>
          <w:sz w:val="32"/>
          <w:szCs w:val="32"/>
        </w:rPr>
        <w:t>2050</w:t>
      </w:r>
      <w:r>
        <w:rPr>
          <w:rFonts w:ascii="Times New Roman" w:eastAsia="仿宋" w:hAnsi="Times New Roman" w:hint="eastAsia"/>
          <w:kern w:val="0"/>
          <w:sz w:val="32"/>
          <w:szCs w:val="32"/>
        </w:rPr>
        <w:t>年</w:t>
      </w:r>
      <w:r>
        <w:rPr>
          <w:rFonts w:ascii="Times New Roman" w:eastAsia="仿宋" w:hAnsi="Times New Roman"/>
          <w:kern w:val="0"/>
          <w:sz w:val="32"/>
          <w:szCs w:val="32"/>
        </w:rPr>
        <w:t>。</w:t>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三、战略目标</w:t>
      </w:r>
    </w:p>
    <w:p w:rsidR="004616FD" w:rsidRDefault="008A336D" w:rsidP="004C5AF5">
      <w:pPr>
        <w:spacing w:line="600" w:lineRule="atLeast"/>
        <w:ind w:firstLineChars="200" w:firstLine="640"/>
        <w:rPr>
          <w:rFonts w:ascii="Times New Roman" w:eastAsia="仿宋" w:hAnsi="Times New Roman"/>
          <w:kern w:val="0"/>
          <w:sz w:val="32"/>
          <w:szCs w:val="32"/>
        </w:rPr>
      </w:pPr>
      <w:r>
        <w:rPr>
          <w:rFonts w:ascii="Times New Roman" w:eastAsia="仿宋" w:hAnsi="Times New Roman" w:hint="eastAsia"/>
          <w:kern w:val="0"/>
          <w:sz w:val="32"/>
          <w:szCs w:val="32"/>
        </w:rPr>
        <w:t>至</w:t>
      </w:r>
      <w:r>
        <w:rPr>
          <w:rFonts w:ascii="Times New Roman" w:eastAsia="仿宋" w:hAnsi="Times New Roman" w:hint="eastAsia"/>
          <w:kern w:val="0"/>
          <w:sz w:val="32"/>
          <w:szCs w:val="32"/>
        </w:rPr>
        <w:t>2035</w:t>
      </w:r>
      <w:r>
        <w:rPr>
          <w:rFonts w:ascii="Times New Roman" w:eastAsia="仿宋" w:hAnsi="Times New Roman" w:hint="eastAsia"/>
          <w:kern w:val="0"/>
          <w:sz w:val="32"/>
          <w:szCs w:val="32"/>
        </w:rPr>
        <w:t>年，基本实现黄河流域（临猗段）生态环境保护区、现代电商物流集聚区、乡村产业体系综改试验区的建设，基本建成黄河流域（临猗段）生态保护和高质量发展先行县，建设绿色临猗、富裕临猗、和谐临猗、幸福临猗。</w:t>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四、城市性质</w:t>
      </w:r>
    </w:p>
    <w:p w:rsidR="004616FD" w:rsidRDefault="008A336D" w:rsidP="004C5AF5">
      <w:pPr>
        <w:spacing w:line="600" w:lineRule="atLeast"/>
        <w:ind w:firstLineChars="200" w:firstLine="640"/>
        <w:rPr>
          <w:rFonts w:ascii="Times New Roman" w:eastAsia="仿宋" w:hAnsi="Times New Roman"/>
          <w:b/>
          <w:bCs/>
          <w:kern w:val="0"/>
          <w:sz w:val="32"/>
          <w:szCs w:val="32"/>
        </w:rPr>
      </w:pPr>
      <w:r>
        <w:rPr>
          <w:rFonts w:ascii="Times New Roman" w:eastAsia="仿宋" w:hAnsi="Times New Roman" w:hint="eastAsia"/>
          <w:kern w:val="0"/>
          <w:sz w:val="32"/>
          <w:szCs w:val="32"/>
        </w:rPr>
        <w:t>临猗县城市性质</w:t>
      </w:r>
      <w:r w:rsidRPr="00DE571D">
        <w:rPr>
          <w:rFonts w:ascii="Times New Roman" w:eastAsia="仿宋" w:hAnsi="Times New Roman" w:hint="eastAsia"/>
          <w:kern w:val="0"/>
          <w:sz w:val="32"/>
          <w:szCs w:val="32"/>
        </w:rPr>
        <w:t>：</w:t>
      </w:r>
      <w:r w:rsidRPr="008A336D">
        <w:rPr>
          <w:rFonts w:ascii="Times New Roman" w:eastAsia="仿宋" w:hAnsi="Times New Roman"/>
          <w:bCs/>
          <w:kern w:val="0"/>
          <w:sz w:val="32"/>
          <w:szCs w:val="32"/>
        </w:rPr>
        <w:t>山西省重要农特产品加工和物流基地，</w:t>
      </w:r>
      <w:r w:rsidRPr="008A336D">
        <w:rPr>
          <w:rFonts w:ascii="Times New Roman" w:eastAsia="仿宋" w:hAnsi="Times New Roman"/>
          <w:bCs/>
          <w:kern w:val="0"/>
          <w:sz w:val="32"/>
          <w:szCs w:val="32"/>
        </w:rPr>
        <w:lastRenderedPageBreak/>
        <w:t>盐临夏一体化重要功能区</w:t>
      </w:r>
      <w:r w:rsidRPr="008A336D">
        <w:rPr>
          <w:rFonts w:ascii="Times New Roman" w:eastAsia="仿宋" w:hAnsi="Times New Roman" w:hint="eastAsia"/>
          <w:bCs/>
          <w:kern w:val="0"/>
          <w:sz w:val="32"/>
          <w:szCs w:val="32"/>
        </w:rPr>
        <w:t>。</w:t>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五、落实细化主体功能分区</w:t>
      </w:r>
    </w:p>
    <w:p w:rsidR="004616FD" w:rsidRDefault="008A336D" w:rsidP="004C5AF5">
      <w:pPr>
        <w:spacing w:line="600" w:lineRule="atLeast"/>
        <w:ind w:firstLineChars="200" w:firstLine="640"/>
        <w:rPr>
          <w:rFonts w:ascii="Times New Roman" w:eastAsia="仿宋" w:hAnsi="Times New Roman"/>
          <w:kern w:val="0"/>
          <w:sz w:val="32"/>
          <w:szCs w:val="32"/>
        </w:rPr>
      </w:pPr>
      <w:r>
        <w:rPr>
          <w:rFonts w:ascii="Times New Roman" w:eastAsia="仿宋" w:hAnsi="Times New Roman"/>
          <w:kern w:val="0"/>
          <w:sz w:val="32"/>
          <w:szCs w:val="32"/>
        </w:rPr>
        <w:t>按照省级主体功能分区，确定</w:t>
      </w:r>
      <w:r>
        <w:rPr>
          <w:rFonts w:ascii="Times New Roman" w:eastAsia="仿宋" w:hAnsi="Times New Roman" w:hint="eastAsia"/>
          <w:kern w:val="0"/>
          <w:sz w:val="32"/>
          <w:szCs w:val="32"/>
        </w:rPr>
        <w:t>临猗县</w:t>
      </w:r>
      <w:r>
        <w:rPr>
          <w:rFonts w:ascii="Times New Roman" w:eastAsia="仿宋" w:hAnsi="Times New Roman"/>
          <w:kern w:val="0"/>
          <w:sz w:val="32"/>
          <w:szCs w:val="32"/>
        </w:rPr>
        <w:t>主体功能区类型为省级</w:t>
      </w:r>
      <w:r>
        <w:rPr>
          <w:rFonts w:ascii="Times New Roman" w:eastAsia="仿宋" w:hAnsi="Times New Roman" w:hint="eastAsia"/>
          <w:kern w:val="0"/>
          <w:sz w:val="32"/>
          <w:szCs w:val="32"/>
        </w:rPr>
        <w:t>农产品主产区</w:t>
      </w:r>
      <w:r>
        <w:rPr>
          <w:rFonts w:ascii="Times New Roman" w:eastAsia="仿宋" w:hAnsi="Times New Roman"/>
          <w:kern w:val="0"/>
          <w:sz w:val="32"/>
          <w:szCs w:val="32"/>
        </w:rPr>
        <w:t>。规划以乡镇为单元对主体功能区进行细化，划分为农产品主产区和</w:t>
      </w:r>
      <w:r>
        <w:rPr>
          <w:rFonts w:ascii="Times New Roman" w:eastAsia="仿宋" w:hAnsi="Times New Roman" w:hint="eastAsia"/>
          <w:kern w:val="0"/>
          <w:sz w:val="32"/>
          <w:szCs w:val="32"/>
        </w:rPr>
        <w:t>重点开发乡镇</w:t>
      </w:r>
      <w:r>
        <w:rPr>
          <w:rFonts w:ascii="Times New Roman" w:eastAsia="仿宋" w:hAnsi="Times New Roman"/>
          <w:kern w:val="0"/>
          <w:sz w:val="32"/>
          <w:szCs w:val="32"/>
        </w:rPr>
        <w:t>。</w:t>
      </w:r>
    </w:p>
    <w:p w:rsidR="004616FD" w:rsidRDefault="008A336D" w:rsidP="004C5AF5">
      <w:pPr>
        <w:spacing w:line="600" w:lineRule="atLeast"/>
        <w:ind w:firstLineChars="200" w:firstLine="640"/>
        <w:rPr>
          <w:rFonts w:ascii="Times New Roman" w:eastAsia="仿宋" w:hAnsi="Times New Roman"/>
          <w:kern w:val="0"/>
          <w:sz w:val="32"/>
          <w:szCs w:val="32"/>
        </w:rPr>
      </w:pPr>
      <w:r>
        <w:rPr>
          <w:rFonts w:ascii="Times New Roman" w:eastAsia="仿宋" w:hAnsi="Times New Roman" w:hint="eastAsia"/>
          <w:kern w:val="0"/>
          <w:sz w:val="32"/>
          <w:szCs w:val="32"/>
        </w:rPr>
        <w:t>重点开发乡镇</w:t>
      </w:r>
      <w:r>
        <w:rPr>
          <w:rFonts w:ascii="Times New Roman" w:eastAsia="仿宋" w:hAnsi="Times New Roman"/>
          <w:kern w:val="0"/>
          <w:sz w:val="32"/>
          <w:szCs w:val="32"/>
        </w:rPr>
        <w:t>包括</w:t>
      </w:r>
      <w:r>
        <w:rPr>
          <w:rFonts w:ascii="Times New Roman" w:eastAsia="仿宋" w:hAnsi="Times New Roman" w:hint="eastAsia"/>
          <w:kern w:val="0"/>
          <w:sz w:val="32"/>
          <w:szCs w:val="32"/>
        </w:rPr>
        <w:t>猗氏镇、临晋镇、楚侯乡</w:t>
      </w:r>
      <w:r>
        <w:rPr>
          <w:rFonts w:ascii="Times New Roman" w:eastAsia="仿宋" w:hAnsi="Times New Roman" w:hint="eastAsia"/>
          <w:kern w:val="0"/>
          <w:sz w:val="32"/>
          <w:szCs w:val="32"/>
        </w:rPr>
        <w:t>3</w:t>
      </w:r>
      <w:r>
        <w:rPr>
          <w:rFonts w:ascii="Times New Roman" w:eastAsia="仿宋" w:hAnsi="Times New Roman"/>
          <w:kern w:val="0"/>
          <w:sz w:val="32"/>
          <w:szCs w:val="32"/>
        </w:rPr>
        <w:t>个乡镇；农产品主产区包括</w:t>
      </w:r>
      <w:r>
        <w:rPr>
          <w:rFonts w:ascii="Times New Roman" w:eastAsia="仿宋" w:hAnsi="Times New Roman" w:hint="eastAsia"/>
          <w:kern w:val="0"/>
          <w:sz w:val="32"/>
          <w:szCs w:val="32"/>
        </w:rPr>
        <w:t>嵋阳镇、七级镇、东张镇、孙吉镇、耽子镇、牛杜镇、三管镇、角杯镇、庙上乡、北景乡和北辛乡</w:t>
      </w:r>
      <w:r>
        <w:rPr>
          <w:rFonts w:ascii="Times New Roman" w:eastAsia="仿宋" w:hAnsi="Times New Roman" w:hint="eastAsia"/>
          <w:kern w:val="0"/>
          <w:sz w:val="32"/>
          <w:szCs w:val="32"/>
        </w:rPr>
        <w:t>11</w:t>
      </w:r>
      <w:r>
        <w:rPr>
          <w:rFonts w:ascii="Times New Roman" w:eastAsia="仿宋" w:hAnsi="Times New Roman"/>
          <w:kern w:val="0"/>
          <w:sz w:val="32"/>
          <w:szCs w:val="32"/>
        </w:rPr>
        <w:t>个乡镇。</w:t>
      </w:r>
    </w:p>
    <w:p w:rsidR="004616FD" w:rsidRDefault="008A336D">
      <w:pPr>
        <w:spacing w:line="600" w:lineRule="atLeast"/>
        <w:rPr>
          <w:rFonts w:ascii="Times New Roman" w:eastAsia="仿宋" w:hAnsi="Times New Roman"/>
          <w:kern w:val="0"/>
          <w:sz w:val="32"/>
          <w:szCs w:val="32"/>
        </w:rPr>
      </w:pPr>
      <w:r>
        <w:rPr>
          <w:rFonts w:ascii="Times New Roman" w:eastAsia="仿宋" w:hAnsi="Times New Roman"/>
          <w:noProof/>
          <w:kern w:val="0"/>
          <w:sz w:val="32"/>
          <w:szCs w:val="32"/>
        </w:rPr>
        <w:drawing>
          <wp:inline distT="0" distB="0" distL="114300" distR="114300">
            <wp:extent cx="5260340" cy="3722370"/>
            <wp:effectExtent l="0" t="0" r="16510" b="11430"/>
            <wp:docPr id="1" name="图片 1" descr="12乡级行政区主体功能定位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乡级行政区主体功能定位分布图"/>
                    <pic:cNvPicPr>
                      <a:picLocks noChangeAspect="1"/>
                    </pic:cNvPicPr>
                  </pic:nvPicPr>
                  <pic:blipFill>
                    <a:blip r:embed="rId4" cstate="print"/>
                    <a:stretch>
                      <a:fillRect/>
                    </a:stretch>
                  </pic:blipFill>
                  <pic:spPr>
                    <a:xfrm>
                      <a:off x="0" y="0"/>
                      <a:ext cx="5260340" cy="3722370"/>
                    </a:xfrm>
                    <a:prstGeom prst="rect">
                      <a:avLst/>
                    </a:prstGeom>
                  </pic:spPr>
                </pic:pic>
              </a:graphicData>
            </a:graphic>
          </wp:inline>
        </w:drawing>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六、国土空间开发保护总体格局</w:t>
      </w:r>
    </w:p>
    <w:p w:rsidR="004616FD" w:rsidRDefault="008A336D" w:rsidP="004C5AF5">
      <w:pPr>
        <w:pStyle w:val="a3"/>
        <w:spacing w:before="0" w:line="600" w:lineRule="exact"/>
        <w:ind w:left="0" w:firstLineChars="200" w:firstLine="640"/>
        <w:rPr>
          <w:rFonts w:cs="仿宋"/>
          <w:kern w:val="0"/>
          <w:sz w:val="32"/>
          <w:szCs w:val="32"/>
          <w:lang w:eastAsia="zh-CN"/>
        </w:rPr>
      </w:pPr>
      <w:r>
        <w:rPr>
          <w:rFonts w:ascii="Times New Roman" w:hAnsi="Times New Roman"/>
          <w:kern w:val="0"/>
          <w:sz w:val="32"/>
          <w:szCs w:val="32"/>
          <w:lang w:eastAsia="zh-CN"/>
        </w:rPr>
        <w:t>基于资源禀赋及发展，构建</w:t>
      </w:r>
      <w:r>
        <w:rPr>
          <w:rFonts w:cs="仿宋" w:hint="eastAsia"/>
          <w:kern w:val="0"/>
          <w:sz w:val="32"/>
          <w:szCs w:val="32"/>
          <w:lang w:eastAsia="zh-CN"/>
        </w:rPr>
        <w:t>“一核一区、三轴三带”的国土空间结构。</w:t>
      </w:r>
    </w:p>
    <w:p w:rsidR="004616FD" w:rsidRDefault="008033F2" w:rsidP="004C5AF5">
      <w:pPr>
        <w:pStyle w:val="a3"/>
        <w:spacing w:before="0" w:line="600" w:lineRule="exact"/>
        <w:ind w:left="0" w:firstLineChars="200" w:firstLine="640"/>
        <w:rPr>
          <w:rFonts w:ascii="Times New Roman" w:hAnsi="Times New Roman"/>
          <w:kern w:val="0"/>
          <w:sz w:val="32"/>
          <w:szCs w:val="32"/>
          <w:lang w:eastAsia="zh-CN"/>
        </w:rPr>
      </w:pPr>
      <w:r>
        <w:rPr>
          <w:rFonts w:cs="仿宋" w:hint="eastAsia"/>
          <w:kern w:val="0"/>
          <w:sz w:val="32"/>
          <w:szCs w:val="32"/>
          <w:lang w:eastAsia="zh-CN"/>
        </w:rPr>
        <w:lastRenderedPageBreak/>
        <w:t>“一核”：</w:t>
      </w:r>
      <w:r w:rsidR="008A336D">
        <w:rPr>
          <w:rFonts w:cs="仿宋" w:hint="eastAsia"/>
          <w:kern w:val="0"/>
          <w:sz w:val="32"/>
          <w:szCs w:val="32"/>
          <w:lang w:eastAsia="zh-CN"/>
        </w:rPr>
        <w:t>临猗县县城，县城作为城市中心，是整个临猗县未来的经济、政治、文化中心</w:t>
      </w:r>
      <w:r w:rsidR="00DE571D">
        <w:rPr>
          <w:rFonts w:cs="仿宋" w:hint="eastAsia"/>
          <w:kern w:val="0"/>
          <w:sz w:val="32"/>
          <w:szCs w:val="32"/>
          <w:lang w:eastAsia="zh-CN"/>
        </w:rPr>
        <w:t>。</w:t>
      </w:r>
    </w:p>
    <w:p w:rsidR="004616FD" w:rsidRDefault="008A336D" w:rsidP="004C5AF5">
      <w:pPr>
        <w:pStyle w:val="a3"/>
        <w:spacing w:before="0" w:line="600" w:lineRule="exact"/>
        <w:ind w:left="0" w:firstLineChars="200" w:firstLine="640"/>
        <w:rPr>
          <w:rFonts w:ascii="Times New Roman" w:hAnsi="Times New Roman"/>
          <w:kern w:val="0"/>
          <w:sz w:val="32"/>
          <w:szCs w:val="32"/>
          <w:lang w:eastAsia="zh-CN"/>
        </w:rPr>
      </w:pPr>
      <w:r>
        <w:rPr>
          <w:rFonts w:cs="仿宋" w:hint="eastAsia"/>
          <w:kern w:val="0"/>
          <w:sz w:val="32"/>
          <w:szCs w:val="32"/>
          <w:lang w:eastAsia="zh-CN"/>
        </w:rPr>
        <w:t>“一区”：</w:t>
      </w:r>
      <w:r>
        <w:rPr>
          <w:rFonts w:ascii="Times New Roman" w:hAnsi="Times New Roman"/>
          <w:kern w:val="0"/>
          <w:sz w:val="32"/>
          <w:szCs w:val="32"/>
          <w:lang w:eastAsia="zh-CN"/>
        </w:rPr>
        <w:t>现代农业产业示范区。</w:t>
      </w:r>
    </w:p>
    <w:p w:rsidR="004616FD" w:rsidRDefault="008A336D" w:rsidP="004C5AF5">
      <w:pPr>
        <w:pStyle w:val="a3"/>
        <w:spacing w:before="0" w:line="600" w:lineRule="exact"/>
        <w:ind w:left="0" w:firstLineChars="200" w:firstLine="640"/>
        <w:rPr>
          <w:rFonts w:ascii="Times New Roman" w:hAnsi="Times New Roman"/>
          <w:kern w:val="0"/>
          <w:sz w:val="32"/>
          <w:szCs w:val="32"/>
          <w:lang w:eastAsia="zh-CN"/>
        </w:rPr>
      </w:pPr>
      <w:r>
        <w:rPr>
          <w:rFonts w:cs="仿宋"/>
          <w:kern w:val="0"/>
          <w:sz w:val="32"/>
          <w:szCs w:val="32"/>
          <w:lang w:eastAsia="zh-CN"/>
        </w:rPr>
        <w:t>“三轴</w:t>
      </w:r>
      <w:r>
        <w:rPr>
          <w:rFonts w:cs="仿宋" w:hint="eastAsia"/>
          <w:kern w:val="0"/>
          <w:sz w:val="32"/>
          <w:szCs w:val="32"/>
          <w:lang w:eastAsia="zh-CN"/>
        </w:rPr>
        <w:t>”</w:t>
      </w:r>
      <w:r>
        <w:rPr>
          <w:rFonts w:cs="仿宋"/>
          <w:kern w:val="0"/>
          <w:sz w:val="32"/>
          <w:szCs w:val="32"/>
          <w:lang w:eastAsia="zh-CN"/>
        </w:rPr>
        <w:t>：</w:t>
      </w:r>
      <w:r>
        <w:rPr>
          <w:rFonts w:ascii="Times New Roman" w:hAnsi="Times New Roman"/>
          <w:kern w:val="0"/>
          <w:sz w:val="32"/>
          <w:szCs w:val="32"/>
          <w:lang w:eastAsia="zh-CN"/>
        </w:rPr>
        <w:t>一横</w:t>
      </w:r>
      <w:r>
        <w:rPr>
          <w:rFonts w:ascii="Times New Roman" w:hAnsi="Times New Roman" w:hint="eastAsia"/>
          <w:kern w:val="0"/>
          <w:sz w:val="32"/>
          <w:szCs w:val="32"/>
          <w:lang w:eastAsia="zh-CN"/>
        </w:rPr>
        <w:t>——</w:t>
      </w:r>
      <w:r>
        <w:rPr>
          <w:rFonts w:ascii="Times New Roman" w:hAnsi="Times New Roman"/>
          <w:kern w:val="0"/>
          <w:sz w:val="32"/>
          <w:szCs w:val="32"/>
          <w:lang w:eastAsia="zh-CN"/>
        </w:rPr>
        <w:t>国道</w:t>
      </w:r>
      <w:r>
        <w:rPr>
          <w:rFonts w:ascii="Times New Roman" w:hAnsi="Times New Roman"/>
          <w:kern w:val="0"/>
          <w:sz w:val="32"/>
          <w:szCs w:val="32"/>
          <w:lang w:eastAsia="zh-CN"/>
        </w:rPr>
        <w:t>342</w:t>
      </w:r>
      <w:r>
        <w:rPr>
          <w:rFonts w:ascii="Times New Roman" w:hAnsi="Times New Roman" w:hint="eastAsia"/>
          <w:kern w:val="0"/>
          <w:sz w:val="32"/>
          <w:szCs w:val="32"/>
          <w:lang w:eastAsia="zh-CN"/>
        </w:rPr>
        <w:t>；</w:t>
      </w:r>
      <w:r>
        <w:rPr>
          <w:rFonts w:ascii="Times New Roman" w:hAnsi="Times New Roman"/>
          <w:kern w:val="0"/>
          <w:sz w:val="32"/>
          <w:szCs w:val="32"/>
          <w:lang w:eastAsia="zh-CN"/>
        </w:rPr>
        <w:t>两纵</w:t>
      </w:r>
      <w:r>
        <w:rPr>
          <w:rFonts w:ascii="Times New Roman" w:hAnsi="Times New Roman" w:hint="eastAsia"/>
          <w:kern w:val="0"/>
          <w:sz w:val="32"/>
          <w:szCs w:val="32"/>
          <w:lang w:eastAsia="zh-CN"/>
        </w:rPr>
        <w:t>——</w:t>
      </w:r>
      <w:r>
        <w:rPr>
          <w:rFonts w:ascii="Times New Roman" w:hAnsi="Times New Roman"/>
          <w:kern w:val="0"/>
          <w:sz w:val="32"/>
          <w:szCs w:val="32"/>
          <w:lang w:eastAsia="zh-CN"/>
        </w:rPr>
        <w:t>国道</w:t>
      </w:r>
      <w:r>
        <w:rPr>
          <w:rFonts w:ascii="Times New Roman" w:hAnsi="Times New Roman"/>
          <w:kern w:val="0"/>
          <w:sz w:val="32"/>
          <w:szCs w:val="32"/>
          <w:lang w:eastAsia="zh-CN"/>
        </w:rPr>
        <w:t>209</w:t>
      </w:r>
      <w:r>
        <w:rPr>
          <w:rFonts w:ascii="Times New Roman" w:hAnsi="Times New Roman" w:hint="eastAsia"/>
          <w:kern w:val="0"/>
          <w:sz w:val="32"/>
          <w:szCs w:val="32"/>
          <w:lang w:eastAsia="zh-CN"/>
        </w:rPr>
        <w:t>和</w:t>
      </w:r>
      <w:r>
        <w:rPr>
          <w:rFonts w:ascii="Times New Roman" w:hAnsi="Times New Roman"/>
          <w:kern w:val="0"/>
          <w:sz w:val="32"/>
          <w:szCs w:val="32"/>
          <w:lang w:eastAsia="zh-CN"/>
        </w:rPr>
        <w:t>省道</w:t>
      </w:r>
      <w:r>
        <w:rPr>
          <w:rFonts w:ascii="Times New Roman" w:hAnsi="Times New Roman"/>
          <w:kern w:val="0"/>
          <w:sz w:val="32"/>
          <w:szCs w:val="32"/>
          <w:lang w:eastAsia="zh-CN"/>
        </w:rPr>
        <w:t>238</w:t>
      </w:r>
      <w:r>
        <w:rPr>
          <w:rFonts w:ascii="Times New Roman" w:hAnsi="Times New Roman"/>
          <w:kern w:val="0"/>
          <w:sz w:val="32"/>
          <w:szCs w:val="32"/>
          <w:lang w:eastAsia="zh-CN"/>
        </w:rPr>
        <w:t>。</w:t>
      </w:r>
    </w:p>
    <w:p w:rsidR="004616FD" w:rsidRDefault="008A336D" w:rsidP="004C5AF5">
      <w:pPr>
        <w:pStyle w:val="a3"/>
        <w:spacing w:before="0" w:line="600" w:lineRule="exact"/>
        <w:ind w:left="0" w:firstLineChars="200" w:firstLine="640"/>
        <w:rPr>
          <w:rFonts w:ascii="Times New Roman" w:hAnsi="Times New Roman"/>
          <w:color w:val="FF0000"/>
          <w:kern w:val="0"/>
          <w:sz w:val="32"/>
          <w:szCs w:val="32"/>
          <w:lang w:eastAsia="zh-CN"/>
        </w:rPr>
      </w:pPr>
      <w:r>
        <w:rPr>
          <w:rFonts w:cs="仿宋"/>
          <w:kern w:val="0"/>
          <w:sz w:val="32"/>
          <w:szCs w:val="32"/>
          <w:lang w:eastAsia="zh-CN"/>
        </w:rPr>
        <w:t>“三带</w:t>
      </w:r>
      <w:r>
        <w:rPr>
          <w:rFonts w:cs="仿宋" w:hint="eastAsia"/>
          <w:kern w:val="0"/>
          <w:sz w:val="32"/>
          <w:szCs w:val="32"/>
          <w:lang w:eastAsia="zh-CN"/>
        </w:rPr>
        <w:t>”</w:t>
      </w:r>
      <w:r>
        <w:rPr>
          <w:rFonts w:ascii="Times New Roman" w:hAnsi="Times New Roman"/>
          <w:kern w:val="0"/>
          <w:sz w:val="32"/>
          <w:szCs w:val="32"/>
          <w:lang w:eastAsia="zh-CN"/>
        </w:rPr>
        <w:t>：西部沿黄河生态</w:t>
      </w:r>
      <w:r>
        <w:rPr>
          <w:rFonts w:ascii="Times New Roman" w:hAnsi="Times New Roman" w:hint="eastAsia"/>
          <w:kern w:val="0"/>
          <w:sz w:val="32"/>
          <w:szCs w:val="32"/>
          <w:lang w:eastAsia="zh-CN"/>
        </w:rPr>
        <w:t>保护</w:t>
      </w:r>
      <w:r>
        <w:rPr>
          <w:rFonts w:ascii="Times New Roman" w:hAnsi="Times New Roman"/>
          <w:kern w:val="0"/>
          <w:sz w:val="32"/>
          <w:szCs w:val="32"/>
          <w:lang w:eastAsia="zh-CN"/>
        </w:rPr>
        <w:t>产业带；涑水河生态</w:t>
      </w:r>
      <w:r>
        <w:rPr>
          <w:rFonts w:ascii="Times New Roman" w:hAnsi="Times New Roman" w:hint="eastAsia"/>
          <w:kern w:val="0"/>
          <w:sz w:val="32"/>
          <w:szCs w:val="32"/>
          <w:lang w:eastAsia="zh-CN"/>
        </w:rPr>
        <w:t>保护</w:t>
      </w:r>
      <w:r>
        <w:rPr>
          <w:rFonts w:ascii="Times New Roman" w:hAnsi="Times New Roman"/>
          <w:kern w:val="0"/>
          <w:sz w:val="32"/>
          <w:szCs w:val="32"/>
          <w:lang w:eastAsia="zh-CN"/>
        </w:rPr>
        <w:t>经济带；峨嵋岭</w:t>
      </w:r>
      <w:r>
        <w:rPr>
          <w:rFonts w:ascii="Times New Roman" w:hAnsi="Times New Roman" w:hint="eastAsia"/>
          <w:kern w:val="0"/>
          <w:sz w:val="32"/>
          <w:szCs w:val="32"/>
          <w:lang w:eastAsia="zh-CN"/>
        </w:rPr>
        <w:t>绿色产业示范带</w:t>
      </w:r>
      <w:r>
        <w:rPr>
          <w:rFonts w:ascii="Times New Roman" w:hAnsi="Times New Roman"/>
          <w:kern w:val="0"/>
          <w:sz w:val="32"/>
          <w:szCs w:val="32"/>
          <w:lang w:eastAsia="zh-CN"/>
        </w:rPr>
        <w:t>。</w:t>
      </w:r>
    </w:p>
    <w:p w:rsidR="004616FD" w:rsidRDefault="008A336D">
      <w:pPr>
        <w:spacing w:line="600" w:lineRule="atLeast"/>
        <w:rPr>
          <w:rFonts w:ascii="Times New Roman" w:eastAsia="仿宋" w:hAnsi="Times New Roman"/>
          <w:kern w:val="0"/>
          <w:sz w:val="32"/>
          <w:szCs w:val="32"/>
        </w:rPr>
      </w:pPr>
      <w:r>
        <w:rPr>
          <w:rFonts w:ascii="Times New Roman" w:eastAsia="仿宋" w:hAnsi="Times New Roman"/>
          <w:noProof/>
          <w:kern w:val="0"/>
          <w:sz w:val="32"/>
          <w:szCs w:val="32"/>
        </w:rPr>
        <w:drawing>
          <wp:inline distT="0" distB="0" distL="114300" distR="114300">
            <wp:extent cx="5259705" cy="3721735"/>
            <wp:effectExtent l="0" t="0" r="17145" b="12065"/>
            <wp:docPr id="6" name="图片 6" descr="13县域国土空间总体格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县域国土空间总体格局规划图"/>
                    <pic:cNvPicPr>
                      <a:picLocks noChangeAspect="1"/>
                    </pic:cNvPicPr>
                  </pic:nvPicPr>
                  <pic:blipFill>
                    <a:blip r:embed="rId5" cstate="print"/>
                    <a:stretch>
                      <a:fillRect/>
                    </a:stretch>
                  </pic:blipFill>
                  <pic:spPr>
                    <a:xfrm>
                      <a:off x="0" y="0"/>
                      <a:ext cx="5259705" cy="3721735"/>
                    </a:xfrm>
                    <a:prstGeom prst="rect">
                      <a:avLst/>
                    </a:prstGeom>
                  </pic:spPr>
                </pic:pic>
              </a:graphicData>
            </a:graphic>
          </wp:inline>
        </w:drawing>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七、统筹划定“三条控制线”</w:t>
      </w:r>
    </w:p>
    <w:p w:rsidR="004616FD" w:rsidRDefault="008A336D" w:rsidP="004C5AF5">
      <w:pPr>
        <w:spacing w:line="600" w:lineRule="atLeast"/>
        <w:ind w:firstLineChars="200" w:firstLine="640"/>
        <w:rPr>
          <w:rFonts w:ascii="Times New Roman" w:eastAsia="仿宋" w:hAnsi="Times New Roman"/>
          <w:kern w:val="0"/>
          <w:sz w:val="32"/>
          <w:szCs w:val="32"/>
        </w:rPr>
      </w:pPr>
      <w:r>
        <w:rPr>
          <w:rFonts w:ascii="Times New Roman" w:eastAsia="仿宋" w:hAnsi="Times New Roman"/>
          <w:kern w:val="0"/>
          <w:sz w:val="32"/>
          <w:szCs w:val="32"/>
        </w:rPr>
        <w:t>落实上级下达任务要求，</w:t>
      </w:r>
      <w:r>
        <w:rPr>
          <w:rFonts w:ascii="Times New Roman" w:eastAsia="仿宋" w:hAnsi="Times New Roman" w:hint="eastAsia"/>
          <w:kern w:val="0"/>
          <w:sz w:val="32"/>
          <w:szCs w:val="32"/>
        </w:rPr>
        <w:t>规划至</w:t>
      </w:r>
      <w:r>
        <w:rPr>
          <w:rFonts w:ascii="Times New Roman" w:eastAsia="仿宋" w:hAnsi="Times New Roman"/>
          <w:kern w:val="0"/>
          <w:sz w:val="32"/>
          <w:szCs w:val="32"/>
        </w:rPr>
        <w:t>2035</w:t>
      </w:r>
      <w:r>
        <w:rPr>
          <w:rFonts w:ascii="Times New Roman" w:eastAsia="仿宋" w:hAnsi="Times New Roman"/>
          <w:kern w:val="0"/>
          <w:sz w:val="32"/>
          <w:szCs w:val="32"/>
        </w:rPr>
        <w:t>年，全县耕地保有量不低于</w:t>
      </w:r>
      <w:r>
        <w:rPr>
          <w:rFonts w:ascii="Times New Roman" w:eastAsia="仿宋" w:hAnsi="Times New Roman" w:hint="eastAsia"/>
          <w:kern w:val="0"/>
          <w:sz w:val="32"/>
          <w:szCs w:val="32"/>
        </w:rPr>
        <w:t>14.37</w:t>
      </w:r>
      <w:r>
        <w:rPr>
          <w:rFonts w:ascii="Times New Roman" w:eastAsia="仿宋" w:hAnsi="Times New Roman"/>
          <w:kern w:val="0"/>
          <w:sz w:val="32"/>
          <w:szCs w:val="32"/>
        </w:rPr>
        <w:t>万亩，永久基本农田保护面积不低于</w:t>
      </w:r>
      <w:r>
        <w:rPr>
          <w:rFonts w:ascii="Times New Roman" w:eastAsia="仿宋" w:hAnsi="Times New Roman" w:hint="eastAsia"/>
          <w:kern w:val="0"/>
          <w:sz w:val="32"/>
          <w:szCs w:val="32"/>
        </w:rPr>
        <w:t>12.67</w:t>
      </w:r>
      <w:r>
        <w:rPr>
          <w:rFonts w:ascii="Times New Roman" w:eastAsia="仿宋" w:hAnsi="Times New Roman"/>
          <w:kern w:val="0"/>
          <w:sz w:val="32"/>
          <w:szCs w:val="32"/>
        </w:rPr>
        <w:t>万亩，生态保护红线面积不低于</w:t>
      </w:r>
      <w:r>
        <w:rPr>
          <w:rFonts w:ascii="Times New Roman" w:eastAsia="仿宋" w:hAnsi="Times New Roman" w:hint="eastAsia"/>
          <w:kern w:val="0"/>
          <w:sz w:val="32"/>
          <w:szCs w:val="32"/>
        </w:rPr>
        <w:t>51.78</w:t>
      </w:r>
      <w:r>
        <w:rPr>
          <w:rFonts w:ascii="Times New Roman" w:eastAsia="仿宋" w:hAnsi="Times New Roman"/>
          <w:kern w:val="0"/>
          <w:sz w:val="32"/>
          <w:szCs w:val="32"/>
        </w:rPr>
        <w:t>平方千米，城镇开发边界面积控制在</w:t>
      </w:r>
      <w:r>
        <w:rPr>
          <w:rFonts w:ascii="Times New Roman" w:eastAsia="仿宋" w:hAnsi="Times New Roman" w:hint="eastAsia"/>
          <w:kern w:val="0"/>
          <w:sz w:val="32"/>
          <w:szCs w:val="32"/>
        </w:rPr>
        <w:t>37.83</w:t>
      </w:r>
      <w:r>
        <w:rPr>
          <w:rFonts w:ascii="Times New Roman" w:eastAsia="仿宋" w:hAnsi="Times New Roman"/>
          <w:kern w:val="0"/>
          <w:sz w:val="32"/>
          <w:szCs w:val="32"/>
        </w:rPr>
        <w:t>平方千米。</w:t>
      </w:r>
    </w:p>
    <w:p w:rsidR="004616FD" w:rsidRDefault="008A336D">
      <w:pPr>
        <w:spacing w:line="600" w:lineRule="atLeast"/>
        <w:jc w:val="center"/>
        <w:rPr>
          <w:rFonts w:ascii="Times New Roman" w:eastAsia="仿宋" w:hAnsi="Times New Roman"/>
          <w:kern w:val="0"/>
          <w:sz w:val="32"/>
          <w:szCs w:val="32"/>
        </w:rPr>
      </w:pPr>
      <w:r>
        <w:rPr>
          <w:rFonts w:ascii="Times New Roman" w:eastAsia="仿宋" w:hAnsi="Times New Roman"/>
          <w:noProof/>
          <w:kern w:val="0"/>
          <w:sz w:val="32"/>
          <w:szCs w:val="32"/>
        </w:rPr>
        <w:lastRenderedPageBreak/>
        <w:drawing>
          <wp:inline distT="0" distB="0" distL="114300" distR="114300">
            <wp:extent cx="5260340" cy="3722370"/>
            <wp:effectExtent l="0" t="0" r="16510" b="11430"/>
            <wp:docPr id="3" name="图片 3" descr="14县域国土空间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县域国土空间控制线规划图"/>
                    <pic:cNvPicPr>
                      <a:picLocks noChangeAspect="1"/>
                    </pic:cNvPicPr>
                  </pic:nvPicPr>
                  <pic:blipFill>
                    <a:blip r:embed="rId6" cstate="print"/>
                    <a:stretch>
                      <a:fillRect/>
                    </a:stretch>
                  </pic:blipFill>
                  <pic:spPr>
                    <a:xfrm>
                      <a:off x="0" y="0"/>
                      <a:ext cx="5260340" cy="3722370"/>
                    </a:xfrm>
                    <a:prstGeom prst="rect">
                      <a:avLst/>
                    </a:prstGeom>
                  </pic:spPr>
                </pic:pic>
              </a:graphicData>
            </a:graphic>
          </wp:inline>
        </w:drawing>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八、明确规划分区，加强国土空间规划用途管制</w:t>
      </w:r>
    </w:p>
    <w:p w:rsidR="004616FD" w:rsidRDefault="00021EE6" w:rsidP="004C5AF5">
      <w:pPr>
        <w:spacing w:line="600" w:lineRule="exact"/>
        <w:ind w:firstLineChars="200" w:firstLine="640"/>
        <w:jc w:val="left"/>
        <w:rPr>
          <w:rFonts w:ascii="Times New Roman" w:eastAsia="仿宋" w:hAnsi="Times New Roman"/>
          <w:kern w:val="0"/>
          <w:sz w:val="32"/>
          <w:szCs w:val="32"/>
        </w:rPr>
      </w:pPr>
      <w:r>
        <w:rPr>
          <w:rFonts w:ascii="Times New Roman" w:eastAsia="仿宋" w:hAnsi="Times New Roman" w:hint="eastAsia"/>
          <w:kern w:val="0"/>
          <w:sz w:val="32"/>
          <w:szCs w:val="32"/>
        </w:rPr>
        <w:t>（一）</w:t>
      </w:r>
      <w:r w:rsidR="008A336D">
        <w:rPr>
          <w:rFonts w:ascii="Times New Roman" w:eastAsia="仿宋" w:hAnsi="Times New Roman"/>
          <w:kern w:val="0"/>
          <w:sz w:val="32"/>
          <w:szCs w:val="32"/>
        </w:rPr>
        <w:t>县域层面规划分区</w:t>
      </w:r>
    </w:p>
    <w:p w:rsidR="004616FD" w:rsidRDefault="008A336D" w:rsidP="004C5AF5">
      <w:pPr>
        <w:spacing w:line="600" w:lineRule="exact"/>
        <w:ind w:firstLineChars="200" w:firstLine="640"/>
        <w:rPr>
          <w:rFonts w:ascii="Times New Roman" w:eastAsia="仿宋" w:hAnsi="Times New Roman"/>
          <w:kern w:val="0"/>
          <w:sz w:val="32"/>
          <w:szCs w:val="32"/>
        </w:rPr>
      </w:pPr>
      <w:r>
        <w:rPr>
          <w:rFonts w:ascii="Times New Roman" w:eastAsia="仿宋" w:hAnsi="Times New Roman"/>
          <w:kern w:val="0"/>
          <w:sz w:val="32"/>
          <w:szCs w:val="32"/>
        </w:rPr>
        <w:t>县域层面划分为生态保护区、生态控制区、农田保护区、城镇发展区、乡村发展区、</w:t>
      </w:r>
      <w:r>
        <w:rPr>
          <w:rFonts w:ascii="Times New Roman" w:eastAsia="仿宋" w:hAnsi="Times New Roman" w:hint="eastAsia"/>
          <w:kern w:val="0"/>
          <w:sz w:val="32"/>
          <w:szCs w:val="32"/>
        </w:rPr>
        <w:t>其他用地</w:t>
      </w:r>
      <w:r>
        <w:rPr>
          <w:rFonts w:ascii="Times New Roman" w:eastAsia="仿宋" w:hAnsi="Times New Roman"/>
          <w:kern w:val="0"/>
          <w:sz w:val="32"/>
          <w:szCs w:val="32"/>
        </w:rPr>
        <w:t>区六类一级规划分区，其中生态保护区</w:t>
      </w:r>
      <w:r>
        <w:rPr>
          <w:rFonts w:ascii="Times New Roman" w:eastAsia="仿宋" w:hAnsi="Times New Roman" w:hint="eastAsia"/>
          <w:kern w:val="0"/>
          <w:sz w:val="32"/>
          <w:szCs w:val="32"/>
        </w:rPr>
        <w:t>划分为生态保护核心区和生态保护一般区；</w:t>
      </w:r>
      <w:r>
        <w:rPr>
          <w:rFonts w:ascii="Times New Roman" w:eastAsia="仿宋" w:hAnsi="Times New Roman"/>
          <w:kern w:val="0"/>
          <w:sz w:val="32"/>
          <w:szCs w:val="32"/>
        </w:rPr>
        <w:t>乡村发展区划分为</w:t>
      </w:r>
      <w:r>
        <w:rPr>
          <w:rFonts w:ascii="Times New Roman" w:eastAsia="仿宋" w:hAnsi="Times New Roman" w:hint="eastAsia"/>
          <w:kern w:val="0"/>
          <w:sz w:val="32"/>
          <w:szCs w:val="32"/>
        </w:rPr>
        <w:t>村庄</w:t>
      </w:r>
      <w:r>
        <w:rPr>
          <w:rFonts w:ascii="Times New Roman" w:eastAsia="仿宋" w:hAnsi="Times New Roman"/>
          <w:kern w:val="0"/>
          <w:sz w:val="32"/>
          <w:szCs w:val="32"/>
        </w:rPr>
        <w:t>建设区</w:t>
      </w:r>
      <w:r>
        <w:rPr>
          <w:rFonts w:ascii="Times New Roman" w:eastAsia="仿宋" w:hAnsi="Times New Roman" w:hint="eastAsia"/>
          <w:kern w:val="0"/>
          <w:sz w:val="32"/>
          <w:szCs w:val="32"/>
        </w:rPr>
        <w:t>和</w:t>
      </w:r>
      <w:r>
        <w:rPr>
          <w:rFonts w:ascii="Times New Roman" w:eastAsia="仿宋" w:hAnsi="Times New Roman"/>
          <w:kern w:val="0"/>
          <w:sz w:val="32"/>
          <w:szCs w:val="32"/>
        </w:rPr>
        <w:t>一般农业区</w:t>
      </w:r>
      <w:r>
        <w:rPr>
          <w:rFonts w:ascii="Times New Roman" w:eastAsia="仿宋" w:hAnsi="Times New Roman" w:hint="eastAsia"/>
          <w:kern w:val="0"/>
          <w:sz w:val="32"/>
          <w:szCs w:val="32"/>
        </w:rPr>
        <w:t>；其他用地区</w:t>
      </w:r>
      <w:r>
        <w:rPr>
          <w:rFonts w:ascii="Times New Roman" w:eastAsia="仿宋" w:hAnsi="Times New Roman"/>
          <w:kern w:val="0"/>
          <w:sz w:val="32"/>
          <w:szCs w:val="32"/>
        </w:rPr>
        <w:t>划分</w:t>
      </w:r>
      <w:r>
        <w:rPr>
          <w:rFonts w:ascii="Times New Roman" w:eastAsia="仿宋" w:hAnsi="Times New Roman" w:hint="eastAsia"/>
          <w:kern w:val="0"/>
          <w:sz w:val="32"/>
          <w:szCs w:val="32"/>
        </w:rPr>
        <w:t>为区域基础设施集中区和特殊用地集中区。</w:t>
      </w:r>
    </w:p>
    <w:p w:rsidR="004616FD" w:rsidRDefault="008A336D">
      <w:pPr>
        <w:jc w:val="center"/>
        <w:rPr>
          <w:rFonts w:ascii="Times New Roman" w:eastAsia="仿宋" w:hAnsi="Times New Roman"/>
          <w:kern w:val="0"/>
          <w:sz w:val="32"/>
          <w:szCs w:val="32"/>
        </w:rPr>
      </w:pPr>
      <w:r>
        <w:rPr>
          <w:rFonts w:ascii="Times New Roman" w:eastAsia="仿宋" w:hAnsi="Times New Roman"/>
          <w:noProof/>
          <w:kern w:val="0"/>
          <w:sz w:val="32"/>
          <w:szCs w:val="32"/>
        </w:rPr>
        <w:lastRenderedPageBreak/>
        <w:drawing>
          <wp:inline distT="0" distB="0" distL="114300" distR="114300">
            <wp:extent cx="5046980" cy="3613785"/>
            <wp:effectExtent l="0" t="0" r="0" b="0"/>
            <wp:docPr id="4" name="图片 4" descr="28县域国土空间用地用海规划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8县域国土空间用地用海规划分区图"/>
                    <pic:cNvPicPr>
                      <a:picLocks noChangeAspect="1"/>
                    </pic:cNvPicPr>
                  </pic:nvPicPr>
                  <pic:blipFill>
                    <a:blip r:embed="rId7" cstate="print"/>
                    <a:srcRect l="2330" t="1689" r="1714" b="1211"/>
                    <a:stretch>
                      <a:fillRect/>
                    </a:stretch>
                  </pic:blipFill>
                  <pic:spPr>
                    <a:xfrm>
                      <a:off x="0" y="0"/>
                      <a:ext cx="5046980" cy="3613785"/>
                    </a:xfrm>
                    <a:prstGeom prst="rect">
                      <a:avLst/>
                    </a:prstGeom>
                  </pic:spPr>
                </pic:pic>
              </a:graphicData>
            </a:graphic>
          </wp:inline>
        </w:drawing>
      </w:r>
    </w:p>
    <w:p w:rsidR="004616FD" w:rsidRDefault="00021EE6" w:rsidP="004C5AF5">
      <w:pPr>
        <w:ind w:firstLineChars="200" w:firstLine="640"/>
        <w:rPr>
          <w:rFonts w:ascii="Times New Roman" w:eastAsia="仿宋" w:hAnsi="Times New Roman"/>
          <w:kern w:val="0"/>
          <w:sz w:val="32"/>
          <w:szCs w:val="32"/>
        </w:rPr>
      </w:pPr>
      <w:r>
        <w:rPr>
          <w:rFonts w:ascii="Times New Roman" w:eastAsia="仿宋" w:hAnsi="Times New Roman" w:hint="eastAsia"/>
          <w:kern w:val="0"/>
          <w:sz w:val="32"/>
          <w:szCs w:val="32"/>
        </w:rPr>
        <w:t>（二）</w:t>
      </w:r>
      <w:r w:rsidR="008A336D">
        <w:rPr>
          <w:rFonts w:ascii="Times New Roman" w:eastAsia="仿宋" w:hAnsi="Times New Roman" w:hint="eastAsia"/>
          <w:kern w:val="0"/>
          <w:sz w:val="32"/>
          <w:szCs w:val="32"/>
        </w:rPr>
        <w:t>中心城区规划分区</w:t>
      </w:r>
    </w:p>
    <w:p w:rsidR="004616FD" w:rsidRDefault="008A336D" w:rsidP="004C5AF5">
      <w:pPr>
        <w:ind w:firstLineChars="200" w:firstLine="640"/>
        <w:rPr>
          <w:rFonts w:ascii="Times New Roman" w:eastAsia="仿宋" w:hAnsi="Times New Roman"/>
          <w:kern w:val="0"/>
          <w:sz w:val="32"/>
          <w:szCs w:val="32"/>
        </w:rPr>
      </w:pPr>
      <w:r>
        <w:rPr>
          <w:rFonts w:ascii="Times New Roman" w:eastAsia="仿宋" w:hAnsi="Times New Roman"/>
          <w:kern w:val="0"/>
          <w:sz w:val="32"/>
          <w:szCs w:val="32"/>
        </w:rPr>
        <w:t>依据用地功能将中心城区城镇开发边界内用地划分为居住生活区、综合服务区、商业商务区、工业发展区、物流仓储区、绿地休闲区、</w:t>
      </w:r>
      <w:r>
        <w:rPr>
          <w:rFonts w:ascii="Times New Roman" w:eastAsia="仿宋" w:hAnsi="Times New Roman" w:hint="eastAsia"/>
          <w:kern w:val="0"/>
          <w:sz w:val="32"/>
          <w:szCs w:val="32"/>
        </w:rPr>
        <w:t>交通枢纽区、</w:t>
      </w:r>
      <w:r>
        <w:rPr>
          <w:rFonts w:ascii="Times New Roman" w:eastAsia="仿宋" w:hAnsi="Times New Roman"/>
          <w:kern w:val="0"/>
          <w:sz w:val="32"/>
          <w:szCs w:val="32"/>
        </w:rPr>
        <w:t>战略预留区</w:t>
      </w:r>
      <w:r>
        <w:rPr>
          <w:rFonts w:ascii="Times New Roman" w:eastAsia="仿宋" w:hAnsi="Times New Roman" w:hint="eastAsia"/>
          <w:kern w:val="0"/>
          <w:sz w:val="32"/>
          <w:szCs w:val="32"/>
        </w:rPr>
        <w:t>8</w:t>
      </w:r>
      <w:r>
        <w:rPr>
          <w:rFonts w:ascii="Times New Roman" w:eastAsia="仿宋" w:hAnsi="Times New Roman"/>
          <w:kern w:val="0"/>
          <w:sz w:val="32"/>
          <w:szCs w:val="32"/>
        </w:rPr>
        <w:t>类。</w:t>
      </w:r>
    </w:p>
    <w:p w:rsidR="004616FD" w:rsidRDefault="008A336D">
      <w:pPr>
        <w:jc w:val="center"/>
        <w:rPr>
          <w:rFonts w:ascii="Times New Roman" w:eastAsia="仿宋" w:hAnsi="Times New Roman"/>
          <w:kern w:val="0"/>
          <w:sz w:val="32"/>
          <w:szCs w:val="32"/>
        </w:rPr>
      </w:pPr>
      <w:r>
        <w:rPr>
          <w:rFonts w:ascii="Times New Roman" w:eastAsia="仿宋" w:hAnsi="Times New Roman"/>
          <w:noProof/>
          <w:kern w:val="0"/>
          <w:sz w:val="32"/>
          <w:szCs w:val="32"/>
        </w:rPr>
        <w:lastRenderedPageBreak/>
        <w:drawing>
          <wp:inline distT="0" distB="0" distL="114300" distR="114300">
            <wp:extent cx="5076825" cy="3573780"/>
            <wp:effectExtent l="0" t="0" r="0" b="0"/>
            <wp:docPr id="5" name="图片 5" descr="39中心城区国土空间规划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9中心城区国土空间规划分区图"/>
                    <pic:cNvPicPr>
                      <a:picLocks noChangeAspect="1"/>
                    </pic:cNvPicPr>
                  </pic:nvPicPr>
                  <pic:blipFill>
                    <a:blip r:embed="rId8" cstate="print"/>
                    <a:srcRect l="2149" t="2133" r="1328" b="1843"/>
                    <a:stretch>
                      <a:fillRect/>
                    </a:stretch>
                  </pic:blipFill>
                  <pic:spPr>
                    <a:xfrm>
                      <a:off x="0" y="0"/>
                      <a:ext cx="5076825" cy="3573780"/>
                    </a:xfrm>
                    <a:prstGeom prst="rect">
                      <a:avLst/>
                    </a:prstGeom>
                  </pic:spPr>
                </pic:pic>
              </a:graphicData>
            </a:graphic>
          </wp:inline>
        </w:drawing>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九、城乡公共服务中心体系</w:t>
      </w:r>
    </w:p>
    <w:p w:rsidR="004616FD" w:rsidRDefault="008A336D">
      <w:pPr>
        <w:spacing w:line="600" w:lineRule="exact"/>
        <w:ind w:firstLineChars="200" w:firstLine="676"/>
        <w:rPr>
          <w:rFonts w:ascii="仿宋" w:eastAsia="仿宋" w:hAnsi="仿宋" w:cs="仿宋"/>
          <w:spacing w:val="9"/>
          <w:sz w:val="32"/>
          <w:szCs w:val="32"/>
          <w:shd w:val="clear" w:color="auto" w:fill="FFFFFF"/>
        </w:rPr>
      </w:pPr>
      <w:r>
        <w:rPr>
          <w:rFonts w:ascii="仿宋" w:eastAsia="仿宋" w:hAnsi="仿宋" w:cs="仿宋" w:hint="eastAsia"/>
          <w:spacing w:val="9"/>
          <w:sz w:val="32"/>
          <w:szCs w:val="32"/>
          <w:shd w:val="clear" w:color="auto" w:fill="FFFFFF"/>
        </w:rPr>
        <w:t>结合城镇体系等级结构和人口分布，构建</w:t>
      </w:r>
      <w:r>
        <w:rPr>
          <w:rFonts w:ascii="仿宋" w:eastAsia="仿宋" w:hAnsi="仿宋" w:cs="仿宋" w:hint="eastAsia"/>
          <w:kern w:val="0"/>
          <w:sz w:val="32"/>
          <w:szCs w:val="32"/>
        </w:rPr>
        <w:t>两类四级生活圈——城镇社区生活圈（包含15分钟层级、5—10分钟层级）、乡村社区生活圈（包含乡集镇层级、村/组层级）</w:t>
      </w:r>
      <w:r>
        <w:rPr>
          <w:rFonts w:ascii="仿宋" w:eastAsia="仿宋" w:hAnsi="仿宋" w:cs="仿宋" w:hint="eastAsia"/>
          <w:spacing w:val="9"/>
          <w:sz w:val="32"/>
          <w:szCs w:val="32"/>
          <w:shd w:val="clear" w:color="auto" w:fill="FFFFFF"/>
        </w:rPr>
        <w:t>，明确各级生活圈公共服务设施配置标准，促进城乡公共服务设施均等化。</w:t>
      </w:r>
    </w:p>
    <w:p w:rsidR="004616FD" w:rsidRDefault="008A336D">
      <w:pPr>
        <w:jc w:val="center"/>
        <w:rPr>
          <w:rFonts w:ascii="仿宋_GB2312" w:eastAsia="仿宋_GB2312" w:hAnsi="宋体" w:cs="仿宋_GB2312"/>
          <w:spacing w:val="9"/>
          <w:sz w:val="32"/>
          <w:szCs w:val="32"/>
          <w:shd w:val="clear" w:color="auto" w:fill="FFFFFF"/>
        </w:rPr>
      </w:pPr>
      <w:r>
        <w:rPr>
          <w:rFonts w:ascii="仿宋_GB2312" w:eastAsia="仿宋_GB2312" w:hAnsi="宋体" w:cs="仿宋_GB2312" w:hint="eastAsia"/>
          <w:noProof/>
          <w:spacing w:val="9"/>
          <w:sz w:val="32"/>
          <w:szCs w:val="32"/>
          <w:shd w:val="clear" w:color="auto" w:fill="FFFFFF"/>
        </w:rPr>
        <w:lastRenderedPageBreak/>
        <w:drawing>
          <wp:inline distT="0" distB="0" distL="114300" distR="114300">
            <wp:extent cx="5259705" cy="3721735"/>
            <wp:effectExtent l="0" t="0" r="17145" b="12065"/>
            <wp:docPr id="7" name="图片 7" descr="24县域城乡生活圈和公共服务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4县域城乡生活圈和公共服务设施规划图"/>
                    <pic:cNvPicPr>
                      <a:picLocks noChangeAspect="1"/>
                    </pic:cNvPicPr>
                  </pic:nvPicPr>
                  <pic:blipFill>
                    <a:blip r:embed="rId9" cstate="print"/>
                    <a:stretch>
                      <a:fillRect/>
                    </a:stretch>
                  </pic:blipFill>
                  <pic:spPr>
                    <a:xfrm>
                      <a:off x="0" y="0"/>
                      <a:ext cx="5259705" cy="3721735"/>
                    </a:xfrm>
                    <a:prstGeom prst="rect">
                      <a:avLst/>
                    </a:prstGeom>
                  </pic:spPr>
                </pic:pic>
              </a:graphicData>
            </a:graphic>
          </wp:inline>
        </w:drawing>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十、县域综合交通体系</w:t>
      </w:r>
    </w:p>
    <w:p w:rsidR="004616FD" w:rsidRDefault="008A336D">
      <w:pPr>
        <w:spacing w:line="600" w:lineRule="exact"/>
        <w:ind w:firstLineChars="200" w:firstLine="676"/>
        <w:rPr>
          <w:rFonts w:ascii="Times New Roman" w:eastAsia="仿宋" w:hAnsi="Times New Roman"/>
          <w:spacing w:val="9"/>
          <w:sz w:val="32"/>
          <w:szCs w:val="32"/>
          <w:shd w:val="clear" w:color="auto" w:fill="FFFFFF"/>
        </w:rPr>
      </w:pPr>
      <w:r>
        <w:rPr>
          <w:rFonts w:ascii="Times New Roman" w:eastAsia="仿宋" w:hAnsi="Times New Roman"/>
          <w:spacing w:val="9"/>
          <w:sz w:val="32"/>
          <w:szCs w:val="32"/>
          <w:shd w:val="clear" w:color="auto" w:fill="FFFFFF"/>
        </w:rPr>
        <w:t>航空：拟在孙吉镇建设一座二类及以上通用机场，建设飞机跑道及助航设施设备。</w:t>
      </w:r>
    </w:p>
    <w:p w:rsidR="004616FD" w:rsidRDefault="00A343A0">
      <w:pPr>
        <w:spacing w:line="600" w:lineRule="exact"/>
        <w:ind w:firstLineChars="200" w:firstLine="676"/>
        <w:rPr>
          <w:rFonts w:ascii="Times New Roman" w:eastAsia="仿宋" w:hAnsi="Times New Roman"/>
          <w:spacing w:val="9"/>
          <w:sz w:val="32"/>
          <w:szCs w:val="32"/>
          <w:shd w:val="clear" w:color="auto" w:fill="FFFFFF"/>
        </w:rPr>
      </w:pPr>
      <w:r>
        <w:rPr>
          <w:rFonts w:ascii="Times New Roman" w:eastAsia="仿宋" w:hAnsi="Times New Roman"/>
          <w:spacing w:val="9"/>
          <w:sz w:val="32"/>
          <w:szCs w:val="32"/>
          <w:shd w:val="clear" w:color="auto" w:fill="FFFFFF"/>
        </w:rPr>
        <w:t>铁路：规划新增实施南同蒲铁路运城城区</w:t>
      </w:r>
      <w:r>
        <w:rPr>
          <w:rFonts w:ascii="Times New Roman" w:eastAsia="仿宋" w:hAnsi="Times New Roman" w:hint="eastAsia"/>
          <w:spacing w:val="9"/>
          <w:sz w:val="32"/>
          <w:szCs w:val="32"/>
          <w:shd w:val="clear" w:color="auto" w:fill="FFFFFF"/>
        </w:rPr>
        <w:t>（</w:t>
      </w:r>
      <w:r w:rsidR="008A336D">
        <w:rPr>
          <w:rFonts w:ascii="Times New Roman" w:eastAsia="仿宋" w:hAnsi="Times New Roman"/>
          <w:spacing w:val="9"/>
          <w:sz w:val="32"/>
          <w:szCs w:val="32"/>
          <w:shd w:val="clear" w:color="auto" w:fill="FFFFFF"/>
        </w:rPr>
        <w:t>临猗段）改线工程；依托浩吉铁路临猗站，建设浩吉铁路临猗站连接线及货场建设项目，深度融入国家铁路网。</w:t>
      </w:r>
    </w:p>
    <w:p w:rsidR="004616FD" w:rsidRDefault="008A336D">
      <w:pPr>
        <w:spacing w:line="600" w:lineRule="exact"/>
        <w:ind w:firstLineChars="200" w:firstLine="676"/>
        <w:rPr>
          <w:rFonts w:ascii="Times New Roman" w:eastAsia="仿宋" w:hAnsi="Times New Roman"/>
          <w:spacing w:val="9"/>
          <w:sz w:val="32"/>
          <w:szCs w:val="32"/>
          <w:shd w:val="clear" w:color="auto" w:fill="FFFFFF"/>
        </w:rPr>
      </w:pPr>
      <w:r>
        <w:rPr>
          <w:rFonts w:ascii="Times New Roman" w:eastAsia="仿宋" w:hAnsi="Times New Roman"/>
          <w:spacing w:val="9"/>
          <w:sz w:val="32"/>
          <w:szCs w:val="32"/>
          <w:shd w:val="clear" w:color="auto" w:fill="FFFFFF"/>
        </w:rPr>
        <w:t>高速公路：规划新建阳城至永济高速公路和临晋镇至吴王渡（晋陕界）高速公路；规划新建济广高速菏泽至宝鸡联络线临猗黄河大桥及引线工程，打造串联晋陕两省沿线城市的通道，带动临猗县沿黄旅游经济发展。</w:t>
      </w:r>
    </w:p>
    <w:p w:rsidR="004616FD" w:rsidRDefault="008A336D">
      <w:pPr>
        <w:spacing w:line="600" w:lineRule="exact"/>
        <w:ind w:firstLineChars="200" w:firstLine="676"/>
        <w:rPr>
          <w:rFonts w:ascii="Times New Roman" w:eastAsia="仿宋" w:hAnsi="Times New Roman"/>
          <w:spacing w:val="9"/>
          <w:sz w:val="32"/>
          <w:szCs w:val="32"/>
          <w:shd w:val="clear" w:color="auto" w:fill="FFFFFF"/>
        </w:rPr>
      </w:pPr>
      <w:r>
        <w:rPr>
          <w:rFonts w:ascii="Times New Roman" w:eastAsia="仿宋" w:hAnsi="Times New Roman"/>
          <w:spacing w:val="9"/>
          <w:sz w:val="32"/>
          <w:szCs w:val="32"/>
          <w:shd w:val="clear" w:color="auto" w:fill="FFFFFF"/>
        </w:rPr>
        <w:t>国省道：实施国道</w:t>
      </w:r>
      <w:r>
        <w:rPr>
          <w:rFonts w:ascii="Times New Roman" w:eastAsia="仿宋" w:hAnsi="Times New Roman"/>
          <w:spacing w:val="9"/>
          <w:sz w:val="32"/>
          <w:szCs w:val="32"/>
          <w:shd w:val="clear" w:color="auto" w:fill="FFFFFF"/>
        </w:rPr>
        <w:t>209</w:t>
      </w:r>
      <w:r>
        <w:rPr>
          <w:rFonts w:ascii="Times New Roman" w:eastAsia="仿宋" w:hAnsi="Times New Roman"/>
          <w:spacing w:val="9"/>
          <w:sz w:val="32"/>
          <w:szCs w:val="32"/>
          <w:shd w:val="clear" w:color="auto" w:fill="FFFFFF"/>
        </w:rPr>
        <w:t>线快速化项目，国道</w:t>
      </w:r>
      <w:r>
        <w:rPr>
          <w:rFonts w:ascii="Times New Roman" w:eastAsia="仿宋" w:hAnsi="Times New Roman"/>
          <w:spacing w:val="9"/>
          <w:sz w:val="32"/>
          <w:szCs w:val="32"/>
          <w:shd w:val="clear" w:color="auto" w:fill="FFFFFF"/>
        </w:rPr>
        <w:t>209</w:t>
      </w:r>
      <w:r>
        <w:rPr>
          <w:rFonts w:ascii="Times New Roman" w:eastAsia="仿宋" w:hAnsi="Times New Roman"/>
          <w:spacing w:val="9"/>
          <w:sz w:val="32"/>
          <w:szCs w:val="32"/>
          <w:shd w:val="clear" w:color="auto" w:fill="FFFFFF"/>
        </w:rPr>
        <w:t>线临猗至夏县段改建工程，国道</w:t>
      </w:r>
      <w:r>
        <w:rPr>
          <w:rFonts w:ascii="Times New Roman" w:eastAsia="仿宋" w:hAnsi="Times New Roman"/>
          <w:spacing w:val="9"/>
          <w:sz w:val="32"/>
          <w:szCs w:val="32"/>
          <w:shd w:val="clear" w:color="auto" w:fill="FFFFFF"/>
        </w:rPr>
        <w:t>342</w:t>
      </w:r>
      <w:r>
        <w:rPr>
          <w:rFonts w:ascii="Times New Roman" w:eastAsia="仿宋" w:hAnsi="Times New Roman"/>
          <w:spacing w:val="9"/>
          <w:sz w:val="32"/>
          <w:szCs w:val="32"/>
          <w:shd w:val="clear" w:color="auto" w:fill="FFFFFF"/>
        </w:rPr>
        <w:t>线闻喜至临猗段改扩建工程等项目。</w:t>
      </w:r>
    </w:p>
    <w:p w:rsidR="004616FD" w:rsidRDefault="008A336D">
      <w:pPr>
        <w:spacing w:line="600" w:lineRule="exact"/>
        <w:ind w:firstLineChars="200" w:firstLine="676"/>
        <w:rPr>
          <w:rFonts w:ascii="Times New Roman" w:eastAsia="仿宋_GB2312" w:hAnsi="Times New Roman"/>
          <w:spacing w:val="9"/>
          <w:sz w:val="32"/>
          <w:szCs w:val="32"/>
          <w:shd w:val="clear" w:color="auto" w:fill="FFFFFF"/>
        </w:rPr>
      </w:pPr>
      <w:r>
        <w:rPr>
          <w:rFonts w:ascii="Times New Roman" w:eastAsia="仿宋" w:hAnsi="Times New Roman"/>
          <w:spacing w:val="9"/>
          <w:sz w:val="32"/>
          <w:szCs w:val="32"/>
          <w:shd w:val="clear" w:color="auto" w:fill="FFFFFF"/>
        </w:rPr>
        <w:lastRenderedPageBreak/>
        <w:t>县乡道：实施战备路、临猗三赵线、王开线等改扩建工程。</w:t>
      </w:r>
    </w:p>
    <w:p w:rsidR="004616FD" w:rsidRDefault="008A336D">
      <w:pPr>
        <w:jc w:val="center"/>
        <w:rPr>
          <w:rFonts w:ascii="仿宋_GB2312" w:eastAsia="仿宋_GB2312" w:hAnsi="宋体" w:cs="仿宋_GB2312"/>
          <w:spacing w:val="9"/>
          <w:sz w:val="32"/>
          <w:szCs w:val="32"/>
          <w:shd w:val="clear" w:color="auto" w:fill="FFFFFF"/>
        </w:rPr>
      </w:pPr>
      <w:r>
        <w:rPr>
          <w:rFonts w:ascii="仿宋_GB2312" w:eastAsia="仿宋_GB2312" w:hAnsi="宋体" w:cs="仿宋_GB2312" w:hint="eastAsia"/>
          <w:noProof/>
          <w:spacing w:val="9"/>
          <w:sz w:val="32"/>
          <w:szCs w:val="32"/>
          <w:shd w:val="clear" w:color="auto" w:fill="FFFFFF"/>
        </w:rPr>
        <w:drawing>
          <wp:inline distT="0" distB="0" distL="114300" distR="114300">
            <wp:extent cx="5259705" cy="3721735"/>
            <wp:effectExtent l="0" t="0" r="17145" b="12065"/>
            <wp:docPr id="10" name="图片 10" descr="25县域综合交通规划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5县域综合交通规划图 拷贝"/>
                    <pic:cNvPicPr>
                      <a:picLocks noChangeAspect="1"/>
                    </pic:cNvPicPr>
                  </pic:nvPicPr>
                  <pic:blipFill>
                    <a:blip r:embed="rId10" cstate="print"/>
                    <a:stretch>
                      <a:fillRect/>
                    </a:stretch>
                  </pic:blipFill>
                  <pic:spPr>
                    <a:xfrm>
                      <a:off x="0" y="0"/>
                      <a:ext cx="5259705" cy="3721735"/>
                    </a:xfrm>
                    <a:prstGeom prst="rect">
                      <a:avLst/>
                    </a:prstGeom>
                  </pic:spPr>
                </pic:pic>
              </a:graphicData>
            </a:graphic>
          </wp:inline>
        </w:drawing>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十一、中心城区空间布局</w:t>
      </w:r>
    </w:p>
    <w:p w:rsidR="004616FD" w:rsidRDefault="008A336D" w:rsidP="004C5AF5">
      <w:pPr>
        <w:spacing w:line="60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规划确定中心城区空间结构为：“一心、两轴、三组团、三片区”</w:t>
      </w:r>
      <w:r w:rsidR="00BF4857">
        <w:rPr>
          <w:rFonts w:ascii="仿宋" w:eastAsia="仿宋" w:hAnsi="仿宋" w:cs="仿宋" w:hint="eastAsia"/>
          <w:kern w:val="0"/>
          <w:sz w:val="32"/>
          <w:szCs w:val="32"/>
        </w:rPr>
        <w:t>。</w:t>
      </w:r>
    </w:p>
    <w:p w:rsidR="004616FD" w:rsidRDefault="008A336D" w:rsidP="004C5AF5">
      <w:pPr>
        <w:spacing w:line="60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“一心”</w:t>
      </w:r>
      <w:r w:rsidR="00BF4857">
        <w:rPr>
          <w:rFonts w:ascii="仿宋" w:eastAsia="仿宋" w:hAnsi="仿宋" w:cs="仿宋" w:hint="eastAsia"/>
          <w:kern w:val="0"/>
          <w:sz w:val="32"/>
          <w:szCs w:val="32"/>
        </w:rPr>
        <w:t>：中心城区综合服务中心。</w:t>
      </w:r>
    </w:p>
    <w:p w:rsidR="004616FD" w:rsidRDefault="008A336D" w:rsidP="004C5AF5">
      <w:pPr>
        <w:spacing w:line="60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“两轴”：分别为沿丰喜大道东西向城市主要发展轴和沿双塔路南北向城市次要发展轴。</w:t>
      </w:r>
    </w:p>
    <w:p w:rsidR="004616FD" w:rsidRDefault="008A336D" w:rsidP="004C5AF5">
      <w:pPr>
        <w:spacing w:line="60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“三组团”：丰喜化工、高新技术产业、科创产业园三个组团</w:t>
      </w:r>
      <w:r>
        <w:rPr>
          <w:rFonts w:ascii="仿宋" w:eastAsia="仿宋" w:hAnsi="仿宋" w:cs="仿宋" w:hint="eastAsia"/>
          <w:sz w:val="32"/>
          <w:szCs w:val="32"/>
        </w:rPr>
        <w:t>。</w:t>
      </w:r>
    </w:p>
    <w:p w:rsidR="004616FD" w:rsidRDefault="00A343A0" w:rsidP="004C5AF5">
      <w:pPr>
        <w:spacing w:line="600" w:lineRule="exact"/>
        <w:ind w:firstLineChars="200" w:firstLine="640"/>
        <w:rPr>
          <w:rFonts w:ascii="Times New Roman" w:eastAsia="仿宋_GB2312" w:hAnsi="Times New Roman"/>
          <w:sz w:val="32"/>
          <w:szCs w:val="32"/>
        </w:rPr>
      </w:pPr>
      <w:r>
        <w:rPr>
          <w:rFonts w:ascii="仿宋" w:eastAsia="仿宋" w:hAnsi="仿宋" w:cs="仿宋" w:hint="eastAsia"/>
          <w:kern w:val="0"/>
          <w:sz w:val="32"/>
          <w:szCs w:val="32"/>
        </w:rPr>
        <w:t>“三片区”：分别为中部城市更新区以及南北两个城市新区。</w:t>
      </w:r>
      <w:r w:rsidR="008A336D">
        <w:rPr>
          <w:rFonts w:ascii="仿宋" w:eastAsia="仿宋" w:hAnsi="仿宋" w:cs="仿宋" w:hint="eastAsia"/>
          <w:kern w:val="0"/>
          <w:sz w:val="32"/>
          <w:szCs w:val="32"/>
        </w:rPr>
        <w:t>中部城市更新区在老城统筹整合城镇低效闲置土地，盘活土地存量的基础上，提高利用效率，优化人居环境、提</w:t>
      </w:r>
      <w:r>
        <w:rPr>
          <w:rFonts w:ascii="仿宋" w:eastAsia="仿宋" w:hAnsi="仿宋" w:cs="仿宋" w:hint="eastAsia"/>
          <w:kern w:val="0"/>
          <w:sz w:val="32"/>
          <w:szCs w:val="32"/>
        </w:rPr>
        <w:lastRenderedPageBreak/>
        <w:t>高生活质量、提升城市品位、完善城市功能，促进城市有机更新；</w:t>
      </w:r>
      <w:r w:rsidR="008A336D">
        <w:rPr>
          <w:rFonts w:ascii="仿宋" w:eastAsia="仿宋" w:hAnsi="仿宋" w:cs="仿宋" w:hint="eastAsia"/>
          <w:kern w:val="0"/>
          <w:sz w:val="32"/>
          <w:szCs w:val="32"/>
        </w:rPr>
        <w:t>南北新区则通过城镇绿化建设、美化建设、清洁化建设等高水平建设品质城镇，全面实施设施提升，实现基础设施全覆盖，公共综合交通体系基本形成，城市综合承载能力和辐射带动能力有效提升。</w:t>
      </w:r>
    </w:p>
    <w:p w:rsidR="004616FD" w:rsidRDefault="008A336D">
      <w:pPr>
        <w:rPr>
          <w:rFonts w:ascii="Times New Roman" w:eastAsia="仿宋" w:hAnsi="Times New Roman"/>
          <w:sz w:val="30"/>
          <w:szCs w:val="30"/>
        </w:rPr>
      </w:pPr>
      <w:r>
        <w:rPr>
          <w:rFonts w:ascii="Times New Roman" w:eastAsia="仿宋" w:hAnsi="Times New Roman"/>
          <w:noProof/>
          <w:sz w:val="30"/>
          <w:szCs w:val="30"/>
        </w:rPr>
        <w:drawing>
          <wp:inline distT="0" distB="0" distL="114300" distR="114300">
            <wp:extent cx="5259705" cy="3721735"/>
            <wp:effectExtent l="0" t="0" r="17145" b="12065"/>
            <wp:docPr id="9" name="图片 9" descr="38 中心城区国土空间规划布局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 中心城区国土空间规划布局结构图"/>
                    <pic:cNvPicPr>
                      <a:picLocks noChangeAspect="1"/>
                    </pic:cNvPicPr>
                  </pic:nvPicPr>
                  <pic:blipFill>
                    <a:blip r:embed="rId11" cstate="print"/>
                    <a:stretch>
                      <a:fillRect/>
                    </a:stretch>
                  </pic:blipFill>
                  <pic:spPr>
                    <a:xfrm>
                      <a:off x="0" y="0"/>
                      <a:ext cx="5259705" cy="3721735"/>
                    </a:xfrm>
                    <a:prstGeom prst="rect">
                      <a:avLst/>
                    </a:prstGeom>
                  </pic:spPr>
                </pic:pic>
              </a:graphicData>
            </a:graphic>
          </wp:inline>
        </w:drawing>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十二、建立国土空间规划体系</w:t>
      </w:r>
    </w:p>
    <w:p w:rsidR="004616FD" w:rsidRDefault="008A336D" w:rsidP="004C5AF5">
      <w:pPr>
        <w:spacing w:line="600" w:lineRule="exact"/>
        <w:ind w:firstLineChars="200" w:firstLine="640"/>
        <w:rPr>
          <w:rFonts w:ascii="仿宋" w:eastAsia="仿宋" w:hAnsi="仿宋" w:cs="仿宋"/>
          <w:kern w:val="0"/>
          <w:sz w:val="32"/>
          <w:szCs w:val="32"/>
        </w:rPr>
      </w:pPr>
      <w:r>
        <w:rPr>
          <w:rFonts w:ascii="仿宋" w:eastAsia="仿宋" w:hAnsi="仿宋" w:cs="仿宋"/>
          <w:kern w:val="0"/>
          <w:sz w:val="32"/>
          <w:szCs w:val="32"/>
        </w:rPr>
        <w:t>以国土空间规划统筹协调各类规划，在规划层级上，形</w:t>
      </w:r>
      <w:r w:rsidR="00FC2E9A">
        <w:rPr>
          <w:rFonts w:ascii="仿宋" w:eastAsia="仿宋" w:hAnsi="仿宋" w:cs="仿宋"/>
          <w:kern w:val="0"/>
          <w:sz w:val="32"/>
          <w:szCs w:val="32"/>
        </w:rPr>
        <w:t>成县级和乡镇级两级国土空间总体规划</w:t>
      </w:r>
      <w:r w:rsidR="00FC2E9A">
        <w:rPr>
          <w:rFonts w:ascii="仿宋" w:eastAsia="仿宋" w:hAnsi="仿宋" w:cs="仿宋" w:hint="eastAsia"/>
          <w:kern w:val="0"/>
          <w:sz w:val="32"/>
          <w:szCs w:val="32"/>
        </w:rPr>
        <w:t>；</w:t>
      </w:r>
      <w:r>
        <w:rPr>
          <w:rFonts w:ascii="仿宋" w:eastAsia="仿宋" w:hAnsi="仿宋" w:cs="仿宋"/>
          <w:kern w:val="0"/>
          <w:sz w:val="32"/>
          <w:szCs w:val="32"/>
        </w:rPr>
        <w:t>在规划类型上，构建总体规划、详细规划和相关专项规划三种类型的规划。</w:t>
      </w:r>
    </w:p>
    <w:p w:rsidR="004616FD" w:rsidRDefault="008A336D" w:rsidP="004C5AF5">
      <w:pPr>
        <w:spacing w:line="60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临猗县</w:t>
      </w:r>
      <w:r>
        <w:rPr>
          <w:rFonts w:ascii="仿宋" w:eastAsia="仿宋" w:hAnsi="仿宋" w:cs="仿宋"/>
          <w:kern w:val="0"/>
          <w:sz w:val="32"/>
          <w:szCs w:val="32"/>
        </w:rPr>
        <w:t>各</w:t>
      </w:r>
      <w:r>
        <w:rPr>
          <w:rFonts w:ascii="仿宋" w:eastAsia="仿宋" w:hAnsi="仿宋" w:cs="仿宋" w:hint="eastAsia"/>
          <w:kern w:val="0"/>
          <w:sz w:val="32"/>
          <w:szCs w:val="32"/>
        </w:rPr>
        <w:t>乡镇</w:t>
      </w:r>
      <w:r>
        <w:rPr>
          <w:rFonts w:ascii="仿宋" w:eastAsia="仿宋" w:hAnsi="仿宋" w:cs="仿宋"/>
          <w:kern w:val="0"/>
          <w:sz w:val="32"/>
          <w:szCs w:val="32"/>
        </w:rPr>
        <w:t>均独立编制</w:t>
      </w:r>
      <w:r>
        <w:rPr>
          <w:rFonts w:ascii="仿宋" w:eastAsia="仿宋" w:hAnsi="仿宋" w:cs="仿宋" w:hint="eastAsia"/>
          <w:kern w:val="0"/>
          <w:sz w:val="32"/>
          <w:szCs w:val="32"/>
        </w:rPr>
        <w:t>乡</w:t>
      </w:r>
      <w:r w:rsidR="00A343A0">
        <w:rPr>
          <w:rFonts w:ascii="仿宋" w:eastAsia="仿宋" w:hAnsi="仿宋" w:cs="仿宋"/>
          <w:kern w:val="0"/>
          <w:sz w:val="32"/>
          <w:szCs w:val="32"/>
        </w:rPr>
        <w:t>镇</w:t>
      </w:r>
      <w:r>
        <w:rPr>
          <w:rFonts w:ascii="仿宋" w:eastAsia="仿宋" w:hAnsi="仿宋" w:cs="仿宋"/>
          <w:kern w:val="0"/>
          <w:sz w:val="32"/>
          <w:szCs w:val="32"/>
        </w:rPr>
        <w:t>国土空间</w:t>
      </w:r>
      <w:r w:rsidR="00A343A0">
        <w:rPr>
          <w:rFonts w:ascii="仿宋" w:eastAsia="仿宋" w:hAnsi="仿宋" w:cs="仿宋" w:hint="eastAsia"/>
          <w:kern w:val="0"/>
          <w:sz w:val="32"/>
          <w:szCs w:val="32"/>
        </w:rPr>
        <w:t>总体</w:t>
      </w:r>
      <w:r>
        <w:rPr>
          <w:rFonts w:ascii="仿宋" w:eastAsia="仿宋" w:hAnsi="仿宋" w:cs="仿宋"/>
          <w:kern w:val="0"/>
          <w:sz w:val="32"/>
          <w:szCs w:val="32"/>
        </w:rPr>
        <w:t>规划。乡镇国土空间总体规划应落实县级国土空间总体规划确定的各类空间控制线与约束性指标，落实主体功能区战略，合理分配辖区内村庄建设用地规模，引导“空心村”等存量用地向</w:t>
      </w:r>
      <w:r>
        <w:rPr>
          <w:rFonts w:ascii="仿宋" w:eastAsia="仿宋" w:hAnsi="仿宋" w:cs="仿宋"/>
          <w:kern w:val="0"/>
          <w:sz w:val="32"/>
          <w:szCs w:val="32"/>
        </w:rPr>
        <w:lastRenderedPageBreak/>
        <w:t>乡村振兴、农村</w:t>
      </w:r>
      <w:r w:rsidR="00A343A0">
        <w:rPr>
          <w:rFonts w:ascii="仿宋" w:eastAsia="仿宋" w:hAnsi="仿宋" w:cs="仿宋"/>
          <w:kern w:val="0"/>
          <w:sz w:val="32"/>
          <w:szCs w:val="32"/>
        </w:rPr>
        <w:t>一二三产业融合、村庄人居环境品质提升等方向腾挪，通过盘活、置换</w:t>
      </w:r>
      <w:r>
        <w:rPr>
          <w:rFonts w:ascii="仿宋" w:eastAsia="仿宋" w:hAnsi="仿宋" w:cs="仿宋"/>
          <w:kern w:val="0"/>
          <w:sz w:val="32"/>
          <w:szCs w:val="32"/>
        </w:rPr>
        <w:t>镇</w:t>
      </w:r>
      <w:r w:rsidR="00A343A0">
        <w:rPr>
          <w:rFonts w:ascii="仿宋" w:eastAsia="仿宋" w:hAnsi="仿宋" w:cs="仿宋" w:hint="eastAsia"/>
          <w:kern w:val="0"/>
          <w:sz w:val="32"/>
          <w:szCs w:val="32"/>
        </w:rPr>
        <w:t>域</w:t>
      </w:r>
      <w:r>
        <w:rPr>
          <w:rFonts w:ascii="仿宋" w:eastAsia="仿宋" w:hAnsi="仿宋" w:cs="仿宋"/>
          <w:kern w:val="0"/>
          <w:sz w:val="32"/>
          <w:szCs w:val="32"/>
        </w:rPr>
        <w:t>内闲置用地，提升乡镇公共服务设施水平，保障乡镇产业与生活空间。</w:t>
      </w:r>
    </w:p>
    <w:p w:rsidR="004616FD" w:rsidRDefault="008A336D" w:rsidP="004C5AF5">
      <w:pPr>
        <w:spacing w:line="600" w:lineRule="atLeast"/>
        <w:ind w:firstLineChars="200" w:firstLine="643"/>
        <w:rPr>
          <w:rFonts w:ascii="Times New Roman" w:eastAsia="仿宋" w:hAnsi="Times New Roman"/>
          <w:b/>
          <w:bCs/>
          <w:kern w:val="0"/>
          <w:sz w:val="32"/>
          <w:szCs w:val="32"/>
        </w:rPr>
      </w:pPr>
      <w:r>
        <w:rPr>
          <w:rFonts w:ascii="Times New Roman" w:eastAsia="仿宋" w:hAnsi="Times New Roman" w:hint="eastAsia"/>
          <w:b/>
          <w:bCs/>
          <w:kern w:val="0"/>
          <w:sz w:val="32"/>
          <w:szCs w:val="32"/>
        </w:rPr>
        <w:t>十三、实施保障</w:t>
      </w:r>
    </w:p>
    <w:p w:rsidR="004616FD" w:rsidRDefault="008A336D" w:rsidP="004C5AF5">
      <w:pPr>
        <w:spacing w:line="600" w:lineRule="exact"/>
        <w:ind w:firstLineChars="200" w:firstLine="640"/>
        <w:rPr>
          <w:rFonts w:ascii="仿宋" w:eastAsia="仿宋" w:hAnsi="仿宋" w:cs="仿宋"/>
          <w:kern w:val="0"/>
          <w:sz w:val="32"/>
          <w:szCs w:val="32"/>
        </w:rPr>
      </w:pPr>
      <w:r>
        <w:rPr>
          <w:rFonts w:ascii="仿宋" w:eastAsia="仿宋" w:hAnsi="仿宋" w:cs="仿宋"/>
          <w:kern w:val="0"/>
          <w:sz w:val="32"/>
          <w:szCs w:val="32"/>
        </w:rPr>
        <w:t>完善国土空间基础信息平台和国土空间规划“一张图”实施监督信息系统功能，实现国土空间规划信息上下贯通、联动共享，提升国土空间治理体系</w:t>
      </w:r>
      <w:bookmarkStart w:id="2" w:name="_GoBack"/>
      <w:bookmarkEnd w:id="2"/>
      <w:r>
        <w:rPr>
          <w:rFonts w:ascii="仿宋" w:eastAsia="仿宋" w:hAnsi="仿宋" w:cs="仿宋"/>
          <w:kern w:val="0"/>
          <w:sz w:val="32"/>
          <w:szCs w:val="32"/>
        </w:rPr>
        <w:t>和治理能力现代化水平。建立“定期体检、五年一评估”的体检评估机制，对规划成果实施状况进行动态评估、监测和预警，对实施国土空间规划的主要措施和配套政策进行评价和完善。维护规划严肃性</w:t>
      </w:r>
      <w:r w:rsidR="00A343A0">
        <w:rPr>
          <w:rFonts w:ascii="仿宋" w:eastAsia="仿宋" w:hAnsi="仿宋" w:cs="仿宋" w:hint="eastAsia"/>
          <w:kern w:val="0"/>
          <w:sz w:val="32"/>
          <w:szCs w:val="32"/>
        </w:rPr>
        <w:t>和</w:t>
      </w:r>
      <w:r>
        <w:rPr>
          <w:rFonts w:ascii="仿宋" w:eastAsia="仿宋" w:hAnsi="仿宋" w:cs="仿宋"/>
          <w:kern w:val="0"/>
          <w:sz w:val="32"/>
          <w:szCs w:val="32"/>
        </w:rPr>
        <w:t>权威性，严格执行《规划》，任何部门和个人不得随意修改、违规变更。</w:t>
      </w:r>
    </w:p>
    <w:sectPr w:rsidR="004616FD" w:rsidSect="004616F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embedRegular r:id="rId1" w:subsetted="1" w:fontKey="{F267D2F7-6A78-47D8-B4CD-7CE59F723A14}"/>
    <w:embedBold r:id="rId2" w:subsetted="1" w:fontKey="{20D6B3D6-EC4E-478B-8FFE-A735A97F3D0A}"/>
  </w:font>
  <w:font w:name="方正小标宋简体">
    <w:altName w:val="hakuyoxingshu7000"/>
    <w:charset w:val="86"/>
    <w:family w:val="auto"/>
    <w:pitch w:val="default"/>
    <w:sig w:usb0="00000001" w:usb1="080E0000" w:usb2="00000000" w:usb3="00000000" w:csb0="00040000" w:csb1="00000000"/>
    <w:embedRegular r:id="rId3" w:subsetted="1" w:fontKey="{4FB4ADC4-A8EA-42D9-9F3D-753C60444BC0}"/>
  </w:font>
  <w:font w:name="黑体">
    <w:altName w:val="SimHei"/>
    <w:panose1 w:val="02010609060101010101"/>
    <w:charset w:val="86"/>
    <w:family w:val="modern"/>
    <w:pitch w:val="fixed"/>
    <w:sig w:usb0="800002BF" w:usb1="38CF7CFA" w:usb2="00000016" w:usb3="00000000" w:csb0="00040001" w:csb1="00000000"/>
    <w:embedRegular r:id="rId4" w:subsetted="1" w:fontKey="{ED459C5D-9465-4F58-AF08-6C5D3ACDD85F}"/>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WI5NjUwZjA3M2FkZTdmNDU3YWFmYzFhMmZiYzM4MTMifQ=="/>
  </w:docVars>
  <w:rsids>
    <w:rsidRoot w:val="00172A27"/>
    <w:rsid w:val="00021EE6"/>
    <w:rsid w:val="00067119"/>
    <w:rsid w:val="00172A27"/>
    <w:rsid w:val="001E69FA"/>
    <w:rsid w:val="004616FD"/>
    <w:rsid w:val="004C5AF5"/>
    <w:rsid w:val="00671458"/>
    <w:rsid w:val="006D2F08"/>
    <w:rsid w:val="006F3DA5"/>
    <w:rsid w:val="008033F2"/>
    <w:rsid w:val="008A336D"/>
    <w:rsid w:val="00A343A0"/>
    <w:rsid w:val="00BF4857"/>
    <w:rsid w:val="00C842D5"/>
    <w:rsid w:val="00CA091C"/>
    <w:rsid w:val="00CE0D41"/>
    <w:rsid w:val="00CE4688"/>
    <w:rsid w:val="00DE571D"/>
    <w:rsid w:val="00E331C2"/>
    <w:rsid w:val="00EF7E16"/>
    <w:rsid w:val="00FC2E9A"/>
    <w:rsid w:val="2B053877"/>
    <w:rsid w:val="4E5C04DB"/>
    <w:rsid w:val="57EF2D72"/>
    <w:rsid w:val="5D0E05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4616FD"/>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uiPriority w:val="1"/>
    <w:qFormat/>
    <w:rsid w:val="004616FD"/>
    <w:pPr>
      <w:spacing w:before="36"/>
      <w:ind w:left="140"/>
    </w:pPr>
    <w:rPr>
      <w:rFonts w:ascii="仿宋" w:eastAsia="仿宋" w:hAnsi="仿宋"/>
      <w:sz w:val="24"/>
      <w:lang w:eastAsia="en-US"/>
    </w:rPr>
  </w:style>
  <w:style w:type="paragraph" w:styleId="a4">
    <w:name w:val="Normal (Web)"/>
    <w:basedOn w:val="a"/>
    <w:autoRedefine/>
    <w:qFormat/>
    <w:rsid w:val="004616FD"/>
    <w:pPr>
      <w:spacing w:beforeAutospacing="1" w:afterAutospacing="1"/>
      <w:jc w:val="left"/>
    </w:pPr>
    <w:rPr>
      <w:kern w:val="0"/>
      <w:sz w:val="24"/>
    </w:rPr>
  </w:style>
  <w:style w:type="character" w:styleId="a5">
    <w:name w:val="Strong"/>
    <w:basedOn w:val="a0"/>
    <w:qFormat/>
    <w:rsid w:val="004616FD"/>
    <w:rPr>
      <w:b/>
    </w:rPr>
  </w:style>
  <w:style w:type="paragraph" w:styleId="a6">
    <w:name w:val="Balloon Text"/>
    <w:basedOn w:val="a"/>
    <w:link w:val="Char"/>
    <w:rsid w:val="008A336D"/>
    <w:rPr>
      <w:sz w:val="18"/>
      <w:szCs w:val="18"/>
    </w:rPr>
  </w:style>
  <w:style w:type="character" w:customStyle="1" w:styleId="Char">
    <w:name w:val="批注框文本 Char"/>
    <w:basedOn w:val="a0"/>
    <w:link w:val="a6"/>
    <w:rsid w:val="008A336D"/>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10</Pages>
  <Words>348</Words>
  <Characters>1985</Characters>
  <Application>Microsoft Office Word</Application>
  <DocSecurity>0</DocSecurity>
  <Lines>16</Lines>
  <Paragraphs>4</Paragraphs>
  <ScaleCrop>false</ScaleCrop>
  <Company/>
  <LinksUpToDate>false</LinksUpToDate>
  <CharactersWithSpaces>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22346</dc:creator>
  <cp:lastModifiedBy>Administrator</cp:lastModifiedBy>
  <cp:revision>16</cp:revision>
  <dcterms:created xsi:type="dcterms:W3CDTF">2024-04-29T01:16:00Z</dcterms:created>
  <dcterms:modified xsi:type="dcterms:W3CDTF">2024-05-20T01:44:00Z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E444205764764C67AAB178CC997BC0B2_12</vt:lpwstr>
  </property>
</Properties>
</file>