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  <w:t>临猗县七级镇202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  <w:t>政府信息公开工作年度报告</w:t>
      </w:r>
    </w:p>
    <w:p>
      <w:pPr>
        <w:pStyle w:val="4"/>
        <w:spacing w:line="364" w:lineRule="auto"/>
        <w:ind w:left="201" w:right="261" w:firstLine="640"/>
        <w:jc w:val="both"/>
        <w:rPr>
          <w:rFonts w:hint="eastAsia" w:ascii="仿宋_GB2312" w:hAnsi="仿宋_GB2312" w:eastAsia="仿宋_GB2312" w:cs="仿宋_GB2312"/>
          <w:color w:val="333333"/>
          <w:spacing w:val="-4"/>
          <w:w w:val="95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根据《中华人民共和国政府信息公开条例》(国务院令 第 711 号，以下简称《条例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》）和国务院办公厅政府信息与政务公开办公室《关于政府信息公开工作年度报告有关 事项的通知》（国办公开办函〔2019〕60 号）要求，现公布</w:t>
      </w:r>
      <w:r>
        <w:rPr>
          <w:rFonts w:hint="eastAsia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七级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人民政府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年政府信息公开工作年度报告。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本报告由总体情况、主动公开政府信息情况、收到和处理政府信息公开申请情况、政府信息公开行政复议及行政诉讼情况、存在的主要问题及改进情况、其他需要报告的事项等六部分组成，所列数据统计时限为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年 1 月 1 日至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年 12 月 31 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本年报电子版可以在临猗县人民政府网站（http://www.sxly.gov.cn/）政府信息公开专栏中的年度报告子栏目下载。如对本年报有任何疑问，请与七级镇人民政府党政</w:t>
      </w:r>
      <w:r>
        <w:rPr>
          <w:rFonts w:hint="eastAsia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综合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办</w:t>
      </w:r>
      <w:r>
        <w:rPr>
          <w:rFonts w:hint="eastAsia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联系（地址：临猗县</w:t>
      </w:r>
      <w:r>
        <w:rPr>
          <w:rFonts w:hint="eastAsia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镇西街5号，邮编：044100，电话：4357303）。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2021年我镇全面贯彻落实《</w:t>
      </w:r>
      <w:r>
        <w:rPr>
          <w:rFonts w:hint="eastAsia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中华人民共和国政府信息公开条例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，按照县政府工作部署要求，结合全镇实际，进一步细化信息公开标准，规范信息公开内容，加强政府信息发布、解读和回应工作，促进政府信息公开工作规范、有序、健康发展，有效的保证了人民群众的知情权、参与权、监督权，围绕着为群众办好事办实事，进一步提高政府信息公开工作的质量和实效，2021年累计通过县政府门户网站向社会主动公开政府信息20条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sectPr>
          <w:pgSz w:w="11910" w:h="16840"/>
          <w:pgMar w:top="1500" w:right="1620" w:bottom="280" w:left="1680" w:header="720" w:footer="720" w:gutter="0"/>
          <w:cols w:space="720" w:num="1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二、主动公开政府信息情况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15"/>
        </w:rPr>
      </w:pPr>
    </w:p>
    <w:tbl>
      <w:tblPr>
        <w:tblStyle w:val="6"/>
        <w:tblW w:w="0" w:type="auto"/>
        <w:tblInd w:w="2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1880"/>
        <w:gridCol w:w="1271"/>
        <w:gridCol w:w="1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10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1" w:type="dxa"/>
          </w:tcPr>
          <w:p>
            <w:pPr>
              <w:pStyle w:val="10"/>
              <w:spacing w:before="5"/>
              <w:rPr>
                <w:rFonts w:ascii="黑体"/>
                <w:sz w:val="24"/>
              </w:rPr>
            </w:pPr>
          </w:p>
          <w:p>
            <w:pPr>
              <w:pStyle w:val="10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10"/>
              <w:spacing w:before="156" w:line="292" w:lineRule="auto"/>
              <w:ind w:left="538" w:right="520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271" w:type="dxa"/>
          </w:tcPr>
          <w:p>
            <w:pPr>
              <w:pStyle w:val="10"/>
              <w:spacing w:before="156" w:line="292" w:lineRule="auto"/>
              <w:ind w:left="235" w:right="214" w:firstLine="98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1880" w:type="dxa"/>
          </w:tcPr>
          <w:p>
            <w:pPr>
              <w:pStyle w:val="10"/>
              <w:spacing w:before="5"/>
              <w:rPr>
                <w:rFonts w:ascii="黑体"/>
                <w:sz w:val="24"/>
              </w:rPr>
            </w:pPr>
          </w:p>
          <w:p>
            <w:pPr>
              <w:pStyle w:val="10"/>
              <w:ind w:left="218" w:right="202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11" w:type="dxa"/>
          </w:tcPr>
          <w:p>
            <w:pPr>
              <w:pStyle w:val="10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80" w:type="dxa"/>
          </w:tcPr>
          <w:p>
            <w:pPr>
              <w:pStyle w:val="10"/>
              <w:spacing w:before="133"/>
              <w:ind w:right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10"/>
              <w:spacing w:before="133"/>
              <w:ind w:right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10"/>
              <w:spacing w:before="133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11" w:type="dxa"/>
          </w:tcPr>
          <w:p>
            <w:pPr>
              <w:pStyle w:val="10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80" w:type="dxa"/>
          </w:tcPr>
          <w:p>
            <w:pPr>
              <w:pStyle w:val="10"/>
              <w:spacing w:before="106"/>
              <w:ind w:right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10"/>
              <w:spacing w:before="106"/>
              <w:ind w:right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10"/>
              <w:spacing w:before="106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10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1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85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0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1" w:type="dxa"/>
            <w:tcBorders>
              <w:bottom w:val="single" w:color="000000" w:sz="4" w:space="0"/>
            </w:tcBorders>
          </w:tcPr>
          <w:p>
            <w:pPr>
              <w:pStyle w:val="10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10"/>
              <w:spacing w:before="136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bottom w:val="single" w:color="000000" w:sz="4" w:space="0"/>
            </w:tcBorders>
          </w:tcPr>
          <w:p>
            <w:pPr>
              <w:pStyle w:val="10"/>
              <w:spacing w:before="136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10"/>
              <w:spacing w:before="136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7"/>
              <w:ind w:left="112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0"/>
          </w:tcPr>
          <w:p>
            <w:pPr>
              <w:pStyle w:val="10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4"/>
              </w:rPr>
            </w:pPr>
          </w:p>
          <w:p>
            <w:pPr>
              <w:pStyle w:val="10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4"/>
              </w:rPr>
            </w:pPr>
          </w:p>
          <w:p>
            <w:pPr>
              <w:pStyle w:val="10"/>
              <w:ind w:left="190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4"/>
              </w:rPr>
            </w:pPr>
          </w:p>
          <w:p>
            <w:pPr>
              <w:pStyle w:val="10"/>
              <w:ind w:left="324" w:right="306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111" w:type="dxa"/>
            <w:tcBorders>
              <w:top w:val="single" w:color="000000" w:sz="4" w:space="0"/>
            </w:tcBorders>
          </w:tcPr>
          <w:p>
            <w:pPr>
              <w:pStyle w:val="10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80" w:type="dxa"/>
            <w:tcBorders>
              <w:top w:val="single" w:color="000000" w:sz="4" w:space="0"/>
            </w:tcBorders>
          </w:tcPr>
          <w:p>
            <w:pPr>
              <w:pStyle w:val="10"/>
              <w:spacing w:before="8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</w:tcBorders>
          </w:tcPr>
          <w:p>
            <w:pPr>
              <w:pStyle w:val="10"/>
              <w:spacing w:before="8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</w:tcBorders>
          </w:tcPr>
          <w:p>
            <w:pPr>
              <w:pStyle w:val="10"/>
              <w:spacing w:before="8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111" w:type="dxa"/>
          </w:tcPr>
          <w:p>
            <w:pPr>
              <w:pStyle w:val="10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80" w:type="dxa"/>
          </w:tcPr>
          <w:p>
            <w:pPr>
              <w:pStyle w:val="10"/>
              <w:spacing w:before="7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10"/>
              <w:spacing w:before="7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10"/>
              <w:spacing w:before="7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10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11" w:type="dxa"/>
          </w:tcPr>
          <w:p>
            <w:pPr>
              <w:pStyle w:val="10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10"/>
              <w:spacing w:before="27"/>
              <w:ind w:left="106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151" w:type="dxa"/>
            <w:gridSpan w:val="2"/>
          </w:tcPr>
          <w:p>
            <w:pPr>
              <w:pStyle w:val="10"/>
              <w:spacing w:before="27"/>
              <w:ind w:left="1052" w:right="1037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1" w:type="dxa"/>
          </w:tcPr>
          <w:p>
            <w:pPr>
              <w:pStyle w:val="10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80" w:type="dxa"/>
          </w:tcPr>
          <w:p>
            <w:pPr>
              <w:pStyle w:val="10"/>
              <w:spacing w:before="14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51" w:type="dxa"/>
            <w:gridSpan w:val="2"/>
          </w:tcPr>
          <w:p>
            <w:pPr>
              <w:pStyle w:val="10"/>
              <w:spacing w:before="147"/>
              <w:ind w:right="1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10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1" w:type="dxa"/>
            <w:tcBorders>
              <w:bottom w:val="single" w:color="000000" w:sz="4" w:space="0"/>
            </w:tcBorders>
          </w:tcPr>
          <w:p>
            <w:pPr>
              <w:pStyle w:val="10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10"/>
              <w:spacing w:before="164"/>
              <w:ind w:left="339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151" w:type="dxa"/>
            <w:gridSpan w:val="2"/>
            <w:tcBorders>
              <w:bottom w:val="single" w:color="000000" w:sz="4" w:space="0"/>
            </w:tcBorders>
          </w:tcPr>
          <w:p>
            <w:pPr>
              <w:pStyle w:val="10"/>
              <w:spacing w:before="164"/>
              <w:ind w:left="1054" w:right="1037"/>
              <w:jc w:val="center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1"/>
              <w:ind w:left="112"/>
              <w:rPr>
                <w:sz w:val="20"/>
              </w:rPr>
            </w:pPr>
            <w:r>
              <w:rPr>
                <w:sz w:val="20"/>
              </w:rPr>
              <w:t>政府集中采购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1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5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17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三、收到和处理政府信息公开申请情况</w:t>
      </w:r>
    </w:p>
    <w:p>
      <w:pPr>
        <w:pStyle w:val="4"/>
        <w:rPr>
          <w:rFonts w:ascii="黑体"/>
          <w:sz w:val="27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1910" w:h="16840"/>
          <w:pgMar w:top="1580" w:right="1620" w:bottom="280" w:left="1680" w:header="720" w:footer="720" w:gutter="0"/>
          <w:cols w:space="720" w:num="1"/>
        </w:sectPr>
      </w:pPr>
    </w:p>
    <w:p>
      <w:pPr>
        <w:pStyle w:val="4"/>
        <w:spacing w:before="3"/>
        <w:rPr>
          <w:rFonts w:ascii="黑体"/>
          <w:sz w:val="29"/>
        </w:rPr>
      </w:pPr>
    </w:p>
    <w:p>
      <w:pPr>
        <w:pStyle w:val="4"/>
        <w:spacing w:before="55"/>
        <w:ind w:left="84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四、政府信息公开行政复议、行政诉讼情况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21"/>
        </w:rPr>
      </w:pPr>
    </w:p>
    <w:tbl>
      <w:tblPr>
        <w:tblStyle w:val="6"/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519"/>
        <w:gridCol w:w="516"/>
        <w:gridCol w:w="516"/>
        <w:gridCol w:w="516"/>
        <w:gridCol w:w="517"/>
        <w:gridCol w:w="5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24" w:type="dxa"/>
            <w:gridSpan w:val="5"/>
          </w:tcPr>
          <w:p>
            <w:pPr>
              <w:pStyle w:val="10"/>
              <w:spacing w:before="28"/>
              <w:ind w:left="890" w:right="873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119" w:type="dxa"/>
            <w:gridSpan w:val="10"/>
          </w:tcPr>
          <w:p>
            <w:pPr>
              <w:pStyle w:val="10"/>
              <w:spacing w:before="28"/>
              <w:ind w:left="2138" w:right="2121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5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15"/>
              </w:rPr>
            </w:pPr>
          </w:p>
          <w:p>
            <w:pPr>
              <w:pStyle w:val="10"/>
              <w:spacing w:line="292" w:lineRule="auto"/>
              <w:ind w:left="155" w:right="138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515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15"/>
              </w:rPr>
            </w:pPr>
          </w:p>
          <w:p>
            <w:pPr>
              <w:pStyle w:val="10"/>
              <w:spacing w:line="292" w:lineRule="auto"/>
              <w:ind w:left="156" w:right="137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15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15"/>
              </w:rPr>
            </w:pPr>
          </w:p>
          <w:p>
            <w:pPr>
              <w:pStyle w:val="10"/>
              <w:spacing w:line="292" w:lineRule="auto"/>
              <w:ind w:left="157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15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15"/>
              </w:rPr>
            </w:pPr>
          </w:p>
          <w:p>
            <w:pPr>
              <w:pStyle w:val="10"/>
              <w:spacing w:line="292" w:lineRule="auto"/>
              <w:ind w:left="156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尚未审结</w:t>
            </w:r>
          </w:p>
        </w:tc>
        <w:tc>
          <w:tcPr>
            <w:tcW w:w="56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spacing w:line="292" w:lineRule="auto"/>
              <w:ind w:left="181" w:right="163"/>
              <w:rPr>
                <w:sz w:val="20"/>
              </w:rPr>
            </w:pPr>
            <w:r>
              <w:rPr>
                <w:w w:val="95"/>
                <w:sz w:val="20"/>
              </w:rPr>
              <w:t>总计</w:t>
            </w:r>
          </w:p>
        </w:tc>
        <w:tc>
          <w:tcPr>
            <w:tcW w:w="2536" w:type="dxa"/>
            <w:gridSpan w:val="5"/>
          </w:tcPr>
          <w:p>
            <w:pPr>
              <w:pStyle w:val="10"/>
              <w:spacing w:before="28"/>
              <w:ind w:left="466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2583" w:type="dxa"/>
            <w:gridSpan w:val="5"/>
          </w:tcPr>
          <w:p>
            <w:pPr>
              <w:pStyle w:val="10"/>
              <w:spacing w:before="28"/>
              <w:ind w:left="791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10"/>
              <w:spacing w:before="29" w:line="292" w:lineRule="auto"/>
              <w:ind w:left="133" w:right="1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结果维</w:t>
            </w:r>
          </w:p>
          <w:p>
            <w:pPr>
              <w:pStyle w:val="10"/>
              <w:spacing w:line="254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10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10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10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9" w:type="dxa"/>
          </w:tcPr>
          <w:p>
            <w:pPr>
              <w:pStyle w:val="10"/>
              <w:spacing w:before="8"/>
              <w:rPr>
                <w:rFonts w:ascii="黑体"/>
                <w:sz w:val="26"/>
              </w:rPr>
            </w:pPr>
          </w:p>
          <w:p>
            <w:pPr>
              <w:pStyle w:val="10"/>
              <w:spacing w:line="292" w:lineRule="auto"/>
              <w:ind w:left="158" w:right="13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10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10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10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10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7" w:type="dxa"/>
          </w:tcPr>
          <w:p>
            <w:pPr>
              <w:pStyle w:val="10"/>
              <w:spacing w:before="29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10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8" w:type="dxa"/>
          </w:tcPr>
          <w:p>
            <w:pPr>
              <w:pStyle w:val="10"/>
              <w:spacing w:before="8"/>
              <w:rPr>
                <w:rFonts w:ascii="黑体"/>
                <w:sz w:val="26"/>
              </w:rPr>
            </w:pPr>
          </w:p>
          <w:p>
            <w:pPr>
              <w:pStyle w:val="10"/>
              <w:spacing w:line="292" w:lineRule="auto"/>
              <w:ind w:left="159" w:right="137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5" w:type="dxa"/>
          </w:tcPr>
          <w:p>
            <w:pPr>
              <w:pStyle w:val="10"/>
              <w:spacing w:before="42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10"/>
              <w:spacing w:before="42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10"/>
              <w:spacing w:before="42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10"/>
              <w:spacing w:before="42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>
            <w:pPr>
              <w:pStyle w:val="10"/>
              <w:spacing w:before="42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469" w:type="dxa"/>
          </w:tcPr>
          <w:p>
            <w:pPr>
              <w:pStyle w:val="10"/>
              <w:spacing w:before="2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9" w:type="dxa"/>
          </w:tcPr>
          <w:p>
            <w:pPr>
              <w:pStyle w:val="10"/>
              <w:spacing w:before="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10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7" w:type="dxa"/>
          </w:tcPr>
          <w:p>
            <w:pPr>
              <w:pStyle w:val="10"/>
              <w:spacing w:before="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8" w:type="dxa"/>
          </w:tcPr>
          <w:p>
            <w:pPr>
              <w:pStyle w:val="10"/>
              <w:spacing w:before="3" w:line="28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18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/>
        <w:textAlignment w:val="auto"/>
        <w:rPr>
          <w:rFonts w:hint="eastAsia" w:ascii="黑体" w:eastAsia="黑体"/>
          <w:color w:val="333333"/>
        </w:rPr>
      </w:pPr>
      <w:r>
        <w:rPr>
          <w:rFonts w:hint="eastAsia" w:ascii="黑体" w:eastAsia="黑体"/>
          <w:color w:val="333333"/>
          <w:lang w:eastAsia="zh-CN"/>
        </w:rPr>
        <w:t>五、</w:t>
      </w:r>
      <w:r>
        <w:rPr>
          <w:rFonts w:hint="eastAsia" w:ascii="黑体" w:eastAsia="黑体"/>
          <w:color w:val="333333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年，我们</w:t>
      </w:r>
      <w:r>
        <w:rPr>
          <w:rFonts w:hint="eastAsia" w:cs="仿宋_GB2312"/>
          <w:b w:val="0"/>
          <w:bCs/>
          <w:sz w:val="32"/>
          <w:szCs w:val="32"/>
          <w:lang w:eastAsia="zh-CN"/>
        </w:rPr>
        <w:t>七级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人民政府信息公开工作虽取得了新的进展，但也还存在一些问题</w:t>
      </w:r>
      <w:r>
        <w:rPr>
          <w:rFonts w:hint="eastAsia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4"/>
        <w:spacing w:before="3" w:line="364" w:lineRule="auto"/>
        <w:ind w:right="2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（一）存在的主要问题</w:t>
      </w:r>
      <w:r>
        <w:rPr>
          <w:rFonts w:hint="eastAsia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一是乡镇基础设施较落后，农村群众缺乏计算机网络知识等 客观因素致使政府政务信息门户网站利用率不高。</w:t>
      </w:r>
    </w:p>
    <w:p>
      <w:pPr>
        <w:pStyle w:val="4"/>
        <w:spacing w:before="3" w:line="364" w:lineRule="auto"/>
        <w:ind w:right="26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普及不够，信息公开面对社会宣传力度不够。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三是部分信息公布不够及时、更新较慢；信息数量、质量待提升。 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四是政府信息主动公开的力度还有待加强，信息公开的内容还不够全面。 </w:t>
      </w:r>
    </w:p>
    <w:p>
      <w:pPr>
        <w:pStyle w:val="4"/>
        <w:spacing w:before="3" w:line="364" w:lineRule="auto"/>
        <w:ind w:right="26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（二）改进情况</w:t>
      </w:r>
      <w:r>
        <w:rPr>
          <w:rFonts w:hint="eastAsia" w:cs="仿宋_GB2312"/>
          <w:sz w:val="32"/>
          <w:szCs w:val="32"/>
          <w:lang w:eastAsia="zh-CN"/>
        </w:rPr>
        <w:t>：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一是加强政府信息公开人员队伍建设，切实提高人员队伍的 信息公开意识和服务群众的能力。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二是加大学习培训力度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确保政府信息公开工作顺利推进，突出重点、结合实际、切实保障人民群众的知情权、参与权和监督权。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三是加大政府信息采集和发布力度，提高信息质量，丰富公开内容。广泛听取群众的意见和建议，重点公开人民群众普遍关心的热点、焦点问题。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四是强化舆论宣传。通过宣传栏、网站、报纸、电视等各种 媒体，强化宣传的力度、广度与深度，积极引导社会公众正确使 用知情权。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我镇无其他需要报告的事项</w:t>
      </w:r>
      <w:r>
        <w:rPr>
          <w:rFonts w:hint="eastAsia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3" w:line="364" w:lineRule="auto"/>
        <w:ind w:left="201" w:right="261"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3" w:line="364" w:lineRule="auto"/>
        <w:ind w:right="261" w:firstLine="6080" w:firstLineChars="1900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七级镇人民政府</w:t>
      </w:r>
    </w:p>
    <w:p>
      <w:pPr>
        <w:pStyle w:val="4"/>
        <w:spacing w:before="3" w:line="364" w:lineRule="auto"/>
        <w:ind w:left="201" w:right="261" w:firstLine="640"/>
        <w:jc w:val="center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   2022年1月18日</w:t>
      </w:r>
    </w:p>
    <w:sectPr>
      <w:pgSz w:w="11910" w:h="16840"/>
      <w:pgMar w:top="1580" w:right="16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3BC63D"/>
    <w:multiLevelType w:val="singleLevel"/>
    <w:tmpl w:val="673BC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GRlZGExMmU4MzE3MzYzNTNiZjIwMDQwYjkzODYifQ=="/>
  </w:docVars>
  <w:rsids>
    <w:rsidRoot w:val="00000000"/>
    <w:rsid w:val="02021E4C"/>
    <w:rsid w:val="1BAF3886"/>
    <w:rsid w:val="1C237820"/>
    <w:rsid w:val="253D1C5B"/>
    <w:rsid w:val="26E313C7"/>
    <w:rsid w:val="42394B4F"/>
    <w:rsid w:val="61092963"/>
    <w:rsid w:val="6ABD4B6C"/>
    <w:rsid w:val="6D4C564E"/>
    <w:rsid w:val="712E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2022-01-18T00:40:00Z</dcterms:created>
  <dc:creator>Windows 用户</dc:creator>
  <cp:lastModifiedBy>Administrator</cp:lastModifiedBy>
  <dcterms:modified xsi:type="dcterms:W3CDTF">2024-02-22T03:11:53Z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2022-01-18T00:00:00Z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414F2D34A6A54D5BBAD100BABE8F6EFB</vt:lpwstr>
  </property>
</Properties>
</file>