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/>
        </w:rPr>
        <w:t>临猗县猗氏镇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/>
        </w:rPr>
        <w:t>年政府信息公开工作年度报告</w:t>
      </w:r>
    </w:p>
    <w:p>
      <w:pPr>
        <w:pStyle w:val="4"/>
        <w:spacing w:line="364" w:lineRule="auto"/>
        <w:ind w:left="201" w:right="261" w:firstLine="640"/>
        <w:jc w:val="both"/>
        <w:rPr>
          <w:color w:val="333333"/>
          <w:spacing w:val="-4"/>
          <w:w w:val="95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根据《中华人民共和国政府信息公开条例》(国务院令第711号，以下简称《条例》）和国务院办公厅政府信息与政务公开办公室《中华人民共和国政府信息公开工作年度报告格式》（国办公开办函〔2021〕30号</w:t>
      </w:r>
      <w:r>
        <w:rPr>
          <w:rFonts w:hint="eastAsia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要求，现公布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猗氏镇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人民政府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年政府信息公开工作年度报告。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本报告由总体情况、主动公开政府信息情况、收到和处理政府信息公开申请情况、政府信息公开行政复议及行政诉讼情况、存在的主要问题及改进情况、其他需要报告的事项等六部分组成，所列数据统计时限为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</w:t>
      </w:r>
      <w:r>
        <w:rPr>
          <w:rFonts w:hint="eastAsia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pStyle w:val="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黑体" w:eastAsia="黑体"/>
          <w:color w:val="333333"/>
        </w:rPr>
      </w:pPr>
      <w:r>
        <w:rPr>
          <w:rFonts w:hint="eastAsia" w:ascii="黑体" w:eastAsia="黑体"/>
          <w:color w:val="333333"/>
        </w:rPr>
        <w:t>总体情况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eastAsia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按照国务院办公厅和省政府办公厅有关要求，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202</w:t>
      </w:r>
      <w:r>
        <w:rPr>
          <w:rFonts w:hint="eastAsia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猗氏镇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深入贯彻《中华人民共和国政府信息公开条例》，进一步加强组织领导，明确责任分工，细化分解任务，加大督导力度，不断推进组织建设、平台建设、制度建设</w:t>
      </w:r>
      <w:r>
        <w:rPr>
          <w:rFonts w:hint="eastAsia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信息公开工作的积极性、主动性不断提高，信息公开的广度和深度不断增强，工作透明度进一步提高，有效地保障了公民知情权，促进了政府公信力的提升。主要表现在以下几个方面。</w:t>
      </w:r>
      <w:r>
        <w:rPr>
          <w:rFonts w:hint="eastAsia" w:cs="仿宋_GB2312"/>
          <w:b w:val="0"/>
          <w:bCs/>
          <w:sz w:val="32"/>
          <w:szCs w:val="32"/>
          <w:lang w:val="en-US" w:eastAsia="zh-CN"/>
        </w:rPr>
        <w:t xml:space="preserve">  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（一）强化组织领导。为进一步深化和规范政府信息公开工作，由乡镇分管负责人具体指导、监督全镇信息公开工作，各部门按职责要求分工落实政府信息公开各项工作，办公室</w:t>
      </w:r>
      <w:r>
        <w:rPr>
          <w:rFonts w:hint="eastAsia" w:cs="仿宋_GB2312"/>
          <w:b w:val="0"/>
          <w:bCs/>
          <w:sz w:val="32"/>
          <w:szCs w:val="32"/>
          <w:lang w:val="en-US" w:eastAsia="zh-CN"/>
        </w:rPr>
        <w:t>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责政务公开日常工作。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（二）建立工作机制。我单位进一步强化公开保密审查制度，严格执行“谁公开、谁审查、谁负责”、“一事 一审”等保密审查规定，完善政府信息公开年度报告编制和公布制度。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（三）主动公开政府信息情况。我单位主动公开的信息主要包括：机构信息、规划计划、突发公共事件、权责清单、公共服务清单等。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（四）依申请公开政府信息情况。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猗氏镇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未发生因有关政府信息公开而引发的行政复议案和行政诉讼案，未收到各类有关本单位政府信息公开事务的申诉案，也未收到公民、法人或其他组织提出的政府信息公开申请。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（五）建议提案复文公开情况。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猗氏镇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全年收到人大建议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11条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和政协提案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firstLine="640" w:firstLineChars="200"/>
        <w:textAlignment w:val="auto"/>
        <w:rPr>
          <w:rFonts w:hint="eastAsia" w:ascii="黑体" w:eastAsia="黑体"/>
          <w:color w:val="333333"/>
        </w:rPr>
      </w:pPr>
      <w:r>
        <w:rPr>
          <w:rFonts w:hint="eastAsia" w:ascii="黑体" w:eastAsia="黑体"/>
          <w:color w:val="333333"/>
        </w:rPr>
        <w:t>二、主动公开政府信息情况</w:t>
      </w:r>
    </w:p>
    <w:p>
      <w:pPr>
        <w:bidi w:val="0"/>
        <w:rPr>
          <w:rFonts w:hint="eastAsia"/>
        </w:rPr>
      </w:pPr>
    </w:p>
    <w:tbl>
      <w:tblPr>
        <w:tblStyle w:val="6"/>
        <w:tblpPr w:leftFromText="180" w:rightFromText="180" w:vertAnchor="text" w:horzAnchor="page" w:tblpX="1556" w:tblpY="101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tabs>
                <w:tab w:val="left" w:pos="3007"/>
              </w:tabs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tbl>
      <w:tblPr>
        <w:tblStyle w:val="6"/>
        <w:tblpPr w:leftFromText="180" w:rightFromText="180" w:vertAnchor="text" w:horzAnchor="page" w:tblpX="1650" w:tblpY="1585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distribute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distribute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distribute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distribute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distribute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distribute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/>
              <w:jc w:val="distribute"/>
              <w:rPr>
                <w:rFonts w:hint="eastAsia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Ascii" w:hAnsiTheme="minorAscii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spacing w:before="55"/>
        <w:ind w:firstLine="640" w:firstLineChars="200"/>
        <w:rPr>
          <w:rFonts w:hint="eastAsia" w:ascii="黑体" w:eastAsia="黑体"/>
        </w:rPr>
      </w:pPr>
      <w:r>
        <w:rPr>
          <w:rFonts w:hint="eastAsia" w:ascii="黑体" w:eastAsia="黑体"/>
          <w:color w:val="333333"/>
        </w:rPr>
        <w:t>三、收到和处理政府信息公开申请情况</w:t>
      </w:r>
    </w:p>
    <w:p>
      <w:pPr>
        <w:spacing w:after="0"/>
        <w:jc w:val="left"/>
        <w:rPr>
          <w:rFonts w:ascii="Times New Roman"/>
          <w:sz w:val="20"/>
        </w:rPr>
        <w:sectPr>
          <w:pgSz w:w="11910" w:h="16840"/>
          <w:pgMar w:top="1871" w:right="1474" w:bottom="1871" w:left="1587" w:header="720" w:footer="720" w:gutter="0"/>
          <w:cols w:space="720" w:num="1"/>
        </w:sectPr>
      </w:pPr>
    </w:p>
    <w:p>
      <w:pPr>
        <w:pStyle w:val="4"/>
        <w:spacing w:before="55"/>
        <w:rPr>
          <w:rFonts w:hint="eastAsia" w:ascii="黑体" w:eastAsia="黑体"/>
        </w:rPr>
      </w:pPr>
      <w:r>
        <w:rPr>
          <w:rFonts w:hint="eastAsia" w:ascii="黑体" w:eastAsia="黑体"/>
          <w:color w:val="333333"/>
        </w:rPr>
        <w:t>四、政府信息公开行政复议、行政诉讼情况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2"/>
        <w:rPr>
          <w:rFonts w:ascii="黑体"/>
          <w:sz w:val="21"/>
        </w:rPr>
      </w:pPr>
    </w:p>
    <w:tbl>
      <w:tblPr>
        <w:tblStyle w:val="6"/>
        <w:tblW w:w="0" w:type="auto"/>
        <w:tblInd w:w="4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15"/>
        <w:gridCol w:w="515"/>
        <w:gridCol w:w="515"/>
        <w:gridCol w:w="564"/>
        <w:gridCol w:w="469"/>
        <w:gridCol w:w="516"/>
        <w:gridCol w:w="516"/>
        <w:gridCol w:w="516"/>
        <w:gridCol w:w="519"/>
        <w:gridCol w:w="516"/>
        <w:gridCol w:w="516"/>
        <w:gridCol w:w="516"/>
        <w:gridCol w:w="517"/>
        <w:gridCol w:w="5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24" w:type="dxa"/>
            <w:gridSpan w:val="5"/>
          </w:tcPr>
          <w:p>
            <w:pPr>
              <w:pStyle w:val="10"/>
              <w:spacing w:before="28"/>
              <w:ind w:left="890" w:right="873"/>
              <w:jc w:val="center"/>
              <w:rPr>
                <w:sz w:val="20"/>
              </w:rPr>
            </w:pPr>
            <w:r>
              <w:rPr>
                <w:sz w:val="20"/>
              </w:rPr>
              <w:t>行政复议</w:t>
            </w:r>
          </w:p>
        </w:tc>
        <w:tc>
          <w:tcPr>
            <w:tcW w:w="5119" w:type="dxa"/>
            <w:gridSpan w:val="10"/>
          </w:tcPr>
          <w:p>
            <w:pPr>
              <w:pStyle w:val="10"/>
              <w:spacing w:before="28"/>
              <w:ind w:left="2138" w:right="2121"/>
              <w:jc w:val="center"/>
              <w:rPr>
                <w:sz w:val="20"/>
              </w:rPr>
            </w:pPr>
            <w:r>
              <w:rPr>
                <w:sz w:val="20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5" w:type="dxa"/>
            <w:vMerge w:val="restart"/>
          </w:tcPr>
          <w:p>
            <w:pPr>
              <w:pStyle w:val="10"/>
              <w:spacing w:before="1"/>
              <w:rPr>
                <w:rFonts w:ascii="黑体"/>
                <w:sz w:val="15"/>
              </w:rPr>
            </w:pPr>
          </w:p>
          <w:p>
            <w:pPr>
              <w:pStyle w:val="10"/>
              <w:spacing w:line="292" w:lineRule="auto"/>
              <w:ind w:left="155" w:right="138"/>
              <w:jc w:val="both"/>
              <w:rPr>
                <w:sz w:val="20"/>
              </w:rPr>
            </w:pPr>
            <w:r>
              <w:rPr>
                <w:sz w:val="20"/>
              </w:rPr>
              <w:t>结果维持</w:t>
            </w:r>
          </w:p>
        </w:tc>
        <w:tc>
          <w:tcPr>
            <w:tcW w:w="515" w:type="dxa"/>
            <w:vMerge w:val="restart"/>
          </w:tcPr>
          <w:p>
            <w:pPr>
              <w:pStyle w:val="10"/>
              <w:spacing w:before="1"/>
              <w:rPr>
                <w:rFonts w:ascii="黑体"/>
                <w:sz w:val="15"/>
              </w:rPr>
            </w:pPr>
          </w:p>
          <w:p>
            <w:pPr>
              <w:pStyle w:val="10"/>
              <w:spacing w:line="292" w:lineRule="auto"/>
              <w:ind w:left="156" w:right="137"/>
              <w:jc w:val="both"/>
              <w:rPr>
                <w:sz w:val="20"/>
              </w:rPr>
            </w:pPr>
            <w:r>
              <w:rPr>
                <w:sz w:val="20"/>
              </w:rPr>
              <w:t>结果纠正</w:t>
            </w:r>
          </w:p>
        </w:tc>
        <w:tc>
          <w:tcPr>
            <w:tcW w:w="515" w:type="dxa"/>
            <w:vMerge w:val="restart"/>
          </w:tcPr>
          <w:p>
            <w:pPr>
              <w:pStyle w:val="10"/>
              <w:spacing w:before="1"/>
              <w:rPr>
                <w:rFonts w:ascii="黑体"/>
                <w:sz w:val="15"/>
              </w:rPr>
            </w:pPr>
          </w:p>
          <w:p>
            <w:pPr>
              <w:pStyle w:val="10"/>
              <w:spacing w:line="292" w:lineRule="auto"/>
              <w:ind w:left="157" w:right="136"/>
              <w:jc w:val="both"/>
              <w:rPr>
                <w:sz w:val="20"/>
              </w:rPr>
            </w:pPr>
            <w:r>
              <w:rPr>
                <w:sz w:val="20"/>
              </w:rPr>
              <w:t>其他结果</w:t>
            </w:r>
          </w:p>
        </w:tc>
        <w:tc>
          <w:tcPr>
            <w:tcW w:w="515" w:type="dxa"/>
            <w:vMerge w:val="restart"/>
          </w:tcPr>
          <w:p>
            <w:pPr>
              <w:pStyle w:val="10"/>
              <w:spacing w:before="1"/>
              <w:rPr>
                <w:rFonts w:ascii="黑体"/>
                <w:sz w:val="15"/>
              </w:rPr>
            </w:pPr>
          </w:p>
          <w:p>
            <w:pPr>
              <w:pStyle w:val="10"/>
              <w:spacing w:line="292" w:lineRule="auto"/>
              <w:ind w:left="156" w:right="13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尚未审结</w:t>
            </w:r>
          </w:p>
        </w:tc>
        <w:tc>
          <w:tcPr>
            <w:tcW w:w="564" w:type="dxa"/>
            <w:vMerge w:val="restart"/>
          </w:tcPr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spacing w:before="5"/>
              <w:rPr>
                <w:rFonts w:ascii="黑体"/>
                <w:sz w:val="19"/>
              </w:rPr>
            </w:pPr>
          </w:p>
          <w:p>
            <w:pPr>
              <w:pStyle w:val="10"/>
              <w:spacing w:line="292" w:lineRule="auto"/>
              <w:ind w:left="181" w:right="163"/>
              <w:rPr>
                <w:sz w:val="20"/>
              </w:rPr>
            </w:pPr>
            <w:r>
              <w:rPr>
                <w:w w:val="95"/>
                <w:sz w:val="20"/>
              </w:rPr>
              <w:t>总计</w:t>
            </w:r>
          </w:p>
        </w:tc>
        <w:tc>
          <w:tcPr>
            <w:tcW w:w="2536" w:type="dxa"/>
            <w:gridSpan w:val="5"/>
          </w:tcPr>
          <w:p>
            <w:pPr>
              <w:pStyle w:val="10"/>
              <w:spacing w:before="28"/>
              <w:ind w:left="466"/>
              <w:rPr>
                <w:sz w:val="20"/>
              </w:rPr>
            </w:pPr>
            <w:r>
              <w:rPr>
                <w:sz w:val="20"/>
              </w:rPr>
              <w:t>未经复议直接起诉</w:t>
            </w:r>
          </w:p>
        </w:tc>
        <w:tc>
          <w:tcPr>
            <w:tcW w:w="2583" w:type="dxa"/>
            <w:gridSpan w:val="5"/>
          </w:tcPr>
          <w:p>
            <w:pPr>
              <w:pStyle w:val="10"/>
              <w:spacing w:before="28"/>
              <w:ind w:left="791"/>
              <w:rPr>
                <w:sz w:val="20"/>
              </w:rPr>
            </w:pPr>
            <w:r>
              <w:rPr>
                <w:sz w:val="20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>
            <w:pPr>
              <w:pStyle w:val="10"/>
              <w:spacing w:before="29" w:line="292" w:lineRule="auto"/>
              <w:ind w:left="133" w:right="11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结果维</w:t>
            </w:r>
          </w:p>
          <w:p>
            <w:pPr>
              <w:pStyle w:val="10"/>
              <w:spacing w:line="254" w:lineRule="exact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持</w:t>
            </w:r>
          </w:p>
        </w:tc>
        <w:tc>
          <w:tcPr>
            <w:tcW w:w="516" w:type="dxa"/>
          </w:tcPr>
          <w:p>
            <w:pPr>
              <w:pStyle w:val="10"/>
              <w:spacing w:before="29" w:line="292" w:lineRule="auto"/>
              <w:ind w:left="158" w:right="136"/>
              <w:jc w:val="both"/>
              <w:rPr>
                <w:sz w:val="20"/>
              </w:rPr>
            </w:pPr>
            <w:r>
              <w:rPr>
                <w:sz w:val="20"/>
              </w:rPr>
              <w:t>结果纠</w:t>
            </w:r>
          </w:p>
          <w:p>
            <w:pPr>
              <w:pStyle w:val="10"/>
              <w:spacing w:line="254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正</w:t>
            </w:r>
          </w:p>
        </w:tc>
        <w:tc>
          <w:tcPr>
            <w:tcW w:w="516" w:type="dxa"/>
          </w:tcPr>
          <w:p>
            <w:pPr>
              <w:pStyle w:val="10"/>
              <w:spacing w:before="29" w:line="292" w:lineRule="auto"/>
              <w:ind w:left="158" w:right="136"/>
              <w:jc w:val="both"/>
              <w:rPr>
                <w:sz w:val="20"/>
              </w:rPr>
            </w:pPr>
            <w:r>
              <w:rPr>
                <w:sz w:val="20"/>
              </w:rPr>
              <w:t>其他结</w:t>
            </w:r>
          </w:p>
          <w:p>
            <w:pPr>
              <w:pStyle w:val="10"/>
              <w:spacing w:line="254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果</w:t>
            </w:r>
          </w:p>
        </w:tc>
        <w:tc>
          <w:tcPr>
            <w:tcW w:w="516" w:type="dxa"/>
          </w:tcPr>
          <w:p>
            <w:pPr>
              <w:pStyle w:val="10"/>
              <w:spacing w:before="29" w:line="292" w:lineRule="auto"/>
              <w:ind w:left="158" w:right="136"/>
              <w:jc w:val="both"/>
              <w:rPr>
                <w:sz w:val="20"/>
              </w:rPr>
            </w:pPr>
            <w:r>
              <w:rPr>
                <w:sz w:val="20"/>
              </w:rPr>
              <w:t>尚未审</w:t>
            </w:r>
          </w:p>
          <w:p>
            <w:pPr>
              <w:pStyle w:val="10"/>
              <w:spacing w:line="254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结</w:t>
            </w:r>
          </w:p>
        </w:tc>
        <w:tc>
          <w:tcPr>
            <w:tcW w:w="519" w:type="dxa"/>
          </w:tcPr>
          <w:p>
            <w:pPr>
              <w:pStyle w:val="10"/>
              <w:spacing w:before="8"/>
              <w:rPr>
                <w:rFonts w:ascii="黑体"/>
                <w:sz w:val="26"/>
              </w:rPr>
            </w:pPr>
          </w:p>
          <w:p>
            <w:pPr>
              <w:pStyle w:val="10"/>
              <w:spacing w:line="292" w:lineRule="auto"/>
              <w:ind w:left="158" w:right="139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  <w:tc>
          <w:tcPr>
            <w:tcW w:w="516" w:type="dxa"/>
          </w:tcPr>
          <w:p>
            <w:pPr>
              <w:pStyle w:val="10"/>
              <w:spacing w:before="29" w:line="292" w:lineRule="auto"/>
              <w:ind w:left="157" w:right="137"/>
              <w:jc w:val="both"/>
              <w:rPr>
                <w:sz w:val="20"/>
              </w:rPr>
            </w:pPr>
            <w:r>
              <w:rPr>
                <w:sz w:val="20"/>
              </w:rPr>
              <w:t>结果维</w:t>
            </w:r>
          </w:p>
          <w:p>
            <w:pPr>
              <w:pStyle w:val="10"/>
              <w:spacing w:line="254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持</w:t>
            </w:r>
          </w:p>
        </w:tc>
        <w:tc>
          <w:tcPr>
            <w:tcW w:w="516" w:type="dxa"/>
          </w:tcPr>
          <w:p>
            <w:pPr>
              <w:pStyle w:val="10"/>
              <w:spacing w:before="29" w:line="292" w:lineRule="auto"/>
              <w:ind w:left="157" w:right="137"/>
              <w:jc w:val="both"/>
              <w:rPr>
                <w:sz w:val="20"/>
              </w:rPr>
            </w:pPr>
            <w:r>
              <w:rPr>
                <w:sz w:val="20"/>
              </w:rPr>
              <w:t>结果纠</w:t>
            </w:r>
          </w:p>
          <w:p>
            <w:pPr>
              <w:pStyle w:val="10"/>
              <w:spacing w:line="254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正</w:t>
            </w:r>
          </w:p>
        </w:tc>
        <w:tc>
          <w:tcPr>
            <w:tcW w:w="516" w:type="dxa"/>
          </w:tcPr>
          <w:p>
            <w:pPr>
              <w:pStyle w:val="10"/>
              <w:spacing w:before="29" w:line="292" w:lineRule="auto"/>
              <w:ind w:left="157" w:right="137"/>
              <w:jc w:val="both"/>
              <w:rPr>
                <w:sz w:val="20"/>
              </w:rPr>
            </w:pPr>
            <w:r>
              <w:rPr>
                <w:sz w:val="20"/>
              </w:rPr>
              <w:t>其他结</w:t>
            </w:r>
          </w:p>
          <w:p>
            <w:pPr>
              <w:pStyle w:val="10"/>
              <w:spacing w:line="254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果</w:t>
            </w:r>
          </w:p>
        </w:tc>
        <w:tc>
          <w:tcPr>
            <w:tcW w:w="517" w:type="dxa"/>
          </w:tcPr>
          <w:p>
            <w:pPr>
              <w:pStyle w:val="10"/>
              <w:spacing w:before="29" w:line="292" w:lineRule="auto"/>
              <w:ind w:left="157" w:right="138"/>
              <w:jc w:val="both"/>
              <w:rPr>
                <w:sz w:val="20"/>
              </w:rPr>
            </w:pPr>
            <w:r>
              <w:rPr>
                <w:sz w:val="20"/>
              </w:rPr>
              <w:t>尚未审</w:t>
            </w:r>
          </w:p>
          <w:p>
            <w:pPr>
              <w:pStyle w:val="10"/>
              <w:spacing w:line="254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结</w:t>
            </w:r>
          </w:p>
        </w:tc>
        <w:tc>
          <w:tcPr>
            <w:tcW w:w="518" w:type="dxa"/>
          </w:tcPr>
          <w:p>
            <w:pPr>
              <w:pStyle w:val="10"/>
              <w:spacing w:before="8"/>
              <w:rPr>
                <w:rFonts w:ascii="黑体"/>
                <w:sz w:val="26"/>
              </w:rPr>
            </w:pPr>
          </w:p>
          <w:p>
            <w:pPr>
              <w:pStyle w:val="10"/>
              <w:spacing w:line="292" w:lineRule="auto"/>
              <w:ind w:left="159" w:right="137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5" w:type="dxa"/>
          </w:tcPr>
          <w:p>
            <w:pPr>
              <w:pStyle w:val="10"/>
              <w:spacing w:before="42"/>
              <w:ind w:left="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515" w:type="dxa"/>
          </w:tcPr>
          <w:p>
            <w:pPr>
              <w:pStyle w:val="10"/>
              <w:spacing w:before="42"/>
              <w:ind w:left="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515" w:type="dxa"/>
          </w:tcPr>
          <w:p>
            <w:pPr>
              <w:pStyle w:val="10"/>
              <w:spacing w:before="42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515" w:type="dxa"/>
          </w:tcPr>
          <w:p>
            <w:pPr>
              <w:pStyle w:val="10"/>
              <w:spacing w:before="42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564" w:type="dxa"/>
          </w:tcPr>
          <w:p>
            <w:pPr>
              <w:pStyle w:val="10"/>
              <w:spacing w:before="42"/>
              <w:ind w:left="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469" w:type="dxa"/>
          </w:tcPr>
          <w:p>
            <w:pPr>
              <w:pStyle w:val="10"/>
              <w:spacing w:before="28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6" w:type="dxa"/>
          </w:tcPr>
          <w:p>
            <w:pPr>
              <w:pStyle w:val="10"/>
              <w:spacing w:before="2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6" w:type="dxa"/>
          </w:tcPr>
          <w:p>
            <w:pPr>
              <w:pStyle w:val="10"/>
              <w:spacing w:before="2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6" w:type="dxa"/>
          </w:tcPr>
          <w:p>
            <w:pPr>
              <w:pStyle w:val="10"/>
              <w:spacing w:before="2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9" w:type="dxa"/>
          </w:tcPr>
          <w:p>
            <w:pPr>
              <w:pStyle w:val="10"/>
              <w:spacing w:before="2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6" w:type="dxa"/>
          </w:tcPr>
          <w:p>
            <w:pPr>
              <w:pStyle w:val="10"/>
              <w:spacing w:before="2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6" w:type="dxa"/>
          </w:tcPr>
          <w:p>
            <w:pPr>
              <w:pStyle w:val="10"/>
              <w:spacing w:before="2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6" w:type="dxa"/>
          </w:tcPr>
          <w:p>
            <w:pPr>
              <w:pStyle w:val="10"/>
              <w:spacing w:before="2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7" w:type="dxa"/>
          </w:tcPr>
          <w:p>
            <w:pPr>
              <w:pStyle w:val="10"/>
              <w:spacing w:before="2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8" w:type="dxa"/>
          </w:tcPr>
          <w:p>
            <w:pPr>
              <w:pStyle w:val="10"/>
              <w:spacing w:before="3" w:line="28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18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textAlignment w:val="auto"/>
        <w:rPr>
          <w:rFonts w:hint="eastAsia" w:ascii="黑体" w:eastAsia="黑体"/>
          <w:color w:val="333333"/>
        </w:rPr>
      </w:pPr>
      <w:r>
        <w:rPr>
          <w:rFonts w:hint="eastAsia" w:ascii="黑体" w:eastAsia="黑体"/>
          <w:color w:val="333333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202</w:t>
      </w:r>
      <w:r>
        <w:rPr>
          <w:rFonts w:hint="eastAsia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年，我们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猗氏镇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人民政府信息公开工作虽取得了新的进展，但也还存在一些问题：如，部分栏目内容不够丰富；信息更新还不够及时高效；推动政务公开和政府信息公开的力度不够；公开内容不具体，重点不突出</w:t>
      </w:r>
      <w:r>
        <w:rPr>
          <w:rFonts w:hint="eastAsia" w:cs="仿宋_GB2312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公开形式的便民性不足、覆盖面不广；信息发布的积极性和主动性不够等。结合以上不足，我单位将采取以下措施完善信息公开工作：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cs="仿宋_GB2312"/>
          <w:b w:val="0"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提高站位，深化认识。将政府信息公开工作作为一项长期化</w:t>
      </w:r>
      <w:r>
        <w:rPr>
          <w:rFonts w:hint="eastAsia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日常化和制度化的工作，严格按照区政务公开政务服务领导小组办公室工作要求，进一步统一思想，深化认识，确保组织到位、措施到位、责任到位。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加强宣传，营造氛围。在保证网络公开为主的前提下，进一步加大报刊、广播、电视等传统媒体的推介力度，提高公众对政务信息公开的知晓率和参与度，扩大信息覆盖面。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规范程序，严格发布。严格规范信息的收集、编制、审查、发布、监管等各环节程序，明确有关信息发布的职责分工，加强监督管理，并建立健全考核制度和责任追究制度，避免互相推诿、遗漏信息等情况的发生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（四）加大培训，提升质量。加大教育培训力度，使干部职工在思想上充分重视信息公开，提高信息报送的积极性和主动性，提升信息质量。</w:t>
      </w:r>
    </w:p>
    <w:p>
      <w:pPr>
        <w:pStyle w:val="4"/>
        <w:spacing w:before="3" w:line="364" w:lineRule="auto"/>
        <w:ind w:left="201" w:right="261" w:firstLine="640"/>
      </w:pPr>
    </w:p>
    <w:sectPr>
      <w:pgSz w:w="11910" w:h="16840"/>
      <w:pgMar w:top="1871" w:right="1474" w:bottom="1871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44044"/>
    <w:multiLevelType w:val="singleLevel"/>
    <w:tmpl w:val="1594404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EB12AE"/>
    <w:multiLevelType w:val="singleLevel"/>
    <w:tmpl w:val="25EB12A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73BC63D"/>
    <w:multiLevelType w:val="singleLevel"/>
    <w:tmpl w:val="673BC6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lNTc1NzI1NDAzZjdiNTM1OGIzOTAwNjlhMjUyYjYifQ=="/>
  </w:docVars>
  <w:rsids>
    <w:rsidRoot w:val="00000000"/>
    <w:rsid w:val="02021E4C"/>
    <w:rsid w:val="0BB9237A"/>
    <w:rsid w:val="0E770743"/>
    <w:rsid w:val="1C237820"/>
    <w:rsid w:val="1E1B36DB"/>
    <w:rsid w:val="1E1D570A"/>
    <w:rsid w:val="23A91789"/>
    <w:rsid w:val="26D63D7C"/>
    <w:rsid w:val="2E5A3DAC"/>
    <w:rsid w:val="2EE3041B"/>
    <w:rsid w:val="4004001B"/>
    <w:rsid w:val="42394B4F"/>
    <w:rsid w:val="48EE388F"/>
    <w:rsid w:val="6A0779D8"/>
    <w:rsid w:val="6D08089B"/>
    <w:rsid w:val="712E33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ScaleCrop>false</ScaleCrop>
  <LinksUpToDate>false</LinksUpToDate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2022-01-18T00:40:00Z</dcterms:created>
  <dc:creator>Windows 用户</dc:creator>
  <cp:lastModifiedBy>lenovo</cp:lastModifiedBy>
  <dcterms:modified xsi:type="dcterms:W3CDTF">2024-01-15T07:40:25Z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2022-01-18T00:00:00Z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79C381D5160F4F58A2E294BDD87C1185</vt:lpwstr>
  </property>
</Properties>
</file>