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hint="eastAsia" w:ascii="仿宋" w:hAnsi="仿宋" w:eastAsia="仿宋" w:cs="仿宋"/>
          <w:b/>
          <w:bCs/>
          <w:sz w:val="40"/>
          <w:szCs w:val="40"/>
          <w:lang w:eastAsia="zh-CN"/>
        </w:rPr>
      </w:pPr>
      <w:bookmarkStart w:id="187" w:name="_GoBack"/>
      <w:bookmarkEnd w:id="187"/>
    </w:p>
    <w:p>
      <w:pPr>
        <w:snapToGrid w:val="0"/>
        <w:jc w:val="center"/>
        <w:rPr>
          <w:rFonts w:hint="eastAsia" w:ascii="仿宋" w:hAnsi="仿宋" w:eastAsia="仿宋" w:cs="仿宋"/>
          <w:b/>
          <w:bCs/>
          <w:sz w:val="40"/>
          <w:szCs w:val="40"/>
          <w:lang w:eastAsia="zh-CN"/>
        </w:rPr>
      </w:pPr>
    </w:p>
    <w:p>
      <w:pPr>
        <w:snapToGrid w:val="0"/>
        <w:jc w:val="center"/>
        <w:rPr>
          <w:rFonts w:hint="eastAsia" w:ascii="仿宋" w:hAnsi="仿宋" w:eastAsia="仿宋" w:cs="仿宋"/>
          <w:b/>
          <w:bCs/>
          <w:sz w:val="40"/>
          <w:szCs w:val="40"/>
          <w:lang w:eastAsia="zh-CN"/>
        </w:rPr>
      </w:pPr>
    </w:p>
    <w:p>
      <w:pPr>
        <w:snapToGrid w:val="0"/>
        <w:jc w:val="center"/>
        <w:rPr>
          <w:rFonts w:hint="eastAsia" w:ascii="仿宋" w:hAnsi="仿宋" w:eastAsia="仿宋" w:cs="仿宋"/>
          <w:b/>
          <w:bCs/>
          <w:sz w:val="40"/>
          <w:szCs w:val="40"/>
          <w:lang w:eastAsia="zh-CN"/>
        </w:rPr>
      </w:pP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bCs/>
          <w:sz w:val="48"/>
          <w:szCs w:val="48"/>
          <w:lang w:val="en-US" w:eastAsia="zh-CN"/>
        </w:rPr>
      </w:pPr>
      <w:r>
        <w:rPr>
          <w:rFonts w:hint="eastAsia" w:ascii="仿宋" w:hAnsi="仿宋" w:eastAsia="仿宋" w:cs="仿宋"/>
          <w:b/>
          <w:bCs/>
          <w:sz w:val="48"/>
          <w:szCs w:val="48"/>
          <w:lang w:val="en-US" w:eastAsia="zh-CN"/>
        </w:rPr>
        <w:t>中国共产党临猗县委员会老干部局</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bCs/>
          <w:sz w:val="48"/>
          <w:szCs w:val="48"/>
          <w:lang w:eastAsia="zh-CN"/>
        </w:rPr>
      </w:pPr>
      <w:r>
        <w:rPr>
          <w:rFonts w:hint="eastAsia" w:ascii="仿宋" w:hAnsi="仿宋" w:eastAsia="仿宋" w:cs="仿宋"/>
          <w:b/>
          <w:bCs/>
          <w:sz w:val="48"/>
          <w:szCs w:val="48"/>
          <w:lang w:val="en-US" w:eastAsia="zh-CN"/>
        </w:rPr>
        <w:t>2020年度整体支出</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bCs/>
          <w:spacing w:val="40"/>
          <w:sz w:val="96"/>
          <w:szCs w:val="96"/>
          <w:lang w:val="en-US" w:eastAsia="zh-CN"/>
        </w:rPr>
      </w:pPr>
      <w:r>
        <w:rPr>
          <w:rFonts w:hint="eastAsia" w:ascii="仿宋" w:hAnsi="仿宋" w:eastAsia="仿宋" w:cs="仿宋"/>
          <w:b/>
          <w:bCs/>
          <w:sz w:val="48"/>
          <w:szCs w:val="48"/>
        </w:rPr>
        <w:t>绩效评价</w:t>
      </w:r>
      <w:r>
        <w:rPr>
          <w:rFonts w:hint="eastAsia" w:ascii="仿宋" w:hAnsi="仿宋" w:eastAsia="仿宋" w:cs="仿宋"/>
          <w:b/>
          <w:bCs/>
          <w:sz w:val="48"/>
          <w:szCs w:val="48"/>
          <w:lang w:val="en-US" w:eastAsia="zh-CN"/>
        </w:rPr>
        <w:t>报告</w:t>
      </w:r>
    </w:p>
    <w:p>
      <w:pPr>
        <w:jc w:val="center"/>
        <w:rPr>
          <w:rFonts w:hint="eastAsia" w:ascii="仿宋" w:hAnsi="仿宋" w:eastAsia="仿宋" w:cs="仿宋"/>
          <w:b/>
          <w:sz w:val="36"/>
          <w:szCs w:val="36"/>
        </w:rPr>
      </w:pPr>
    </w:p>
    <w:p>
      <w:pPr>
        <w:pStyle w:val="2"/>
        <w:rPr>
          <w:rFonts w:hint="eastAsia"/>
        </w:rPr>
      </w:pPr>
    </w:p>
    <w:p>
      <w:pPr>
        <w:pStyle w:val="2"/>
        <w:rPr>
          <w:rFonts w:hint="eastAsia" w:ascii="仿宋" w:hAnsi="仿宋" w:eastAsia="仿宋" w:cs="仿宋"/>
          <w:b/>
          <w:sz w:val="36"/>
          <w:szCs w:val="36"/>
        </w:rPr>
      </w:pPr>
    </w:p>
    <w:p>
      <w:pPr>
        <w:pStyle w:val="2"/>
        <w:rPr>
          <w:rFonts w:hint="eastAsia" w:ascii="仿宋" w:hAnsi="仿宋" w:eastAsia="仿宋" w:cs="仿宋"/>
          <w:b/>
          <w:sz w:val="36"/>
          <w:szCs w:val="36"/>
        </w:rPr>
      </w:pPr>
    </w:p>
    <w:p>
      <w:pPr>
        <w:jc w:val="center"/>
        <w:rPr>
          <w:rFonts w:hint="eastAsia" w:ascii="仿宋" w:hAnsi="仿宋" w:eastAsia="仿宋" w:cs="仿宋"/>
          <w:b/>
          <w:sz w:val="15"/>
          <w:szCs w:val="15"/>
        </w:rPr>
      </w:pPr>
    </w:p>
    <w:p>
      <w:pPr>
        <w:ind w:firstLine="835" w:firstLineChars="297"/>
        <w:jc w:val="left"/>
        <w:rPr>
          <w:rFonts w:hint="eastAsia" w:ascii="仿宋" w:hAnsi="仿宋" w:eastAsia="仿宋" w:cs="仿宋"/>
          <w:b/>
          <w:sz w:val="28"/>
          <w:szCs w:val="28"/>
        </w:rPr>
      </w:pPr>
      <w:r>
        <w:rPr>
          <w:rFonts w:hint="eastAsia" w:ascii="仿宋" w:hAnsi="仿宋" w:eastAsia="仿宋" w:cs="仿宋"/>
          <w:b/>
          <w:sz w:val="28"/>
          <w:szCs w:val="28"/>
        </w:rPr>
        <w:t>主管单位：中国共产党临猗县委员会</w:t>
      </w:r>
    </w:p>
    <w:p>
      <w:pPr>
        <w:ind w:firstLine="835" w:firstLineChars="297"/>
        <w:jc w:val="left"/>
        <w:rPr>
          <w:rFonts w:hint="eastAsia" w:ascii="仿宋" w:hAnsi="仿宋" w:eastAsia="仿宋" w:cs="仿宋"/>
          <w:b/>
          <w:sz w:val="28"/>
          <w:szCs w:val="28"/>
        </w:rPr>
      </w:pPr>
      <w:r>
        <w:rPr>
          <w:rFonts w:hint="eastAsia" w:ascii="仿宋" w:hAnsi="仿宋" w:eastAsia="仿宋" w:cs="仿宋"/>
          <w:b/>
          <w:sz w:val="28"/>
          <w:szCs w:val="28"/>
        </w:rPr>
        <w:t>项目单位：中国共产党临猗县委员会老干部局</w:t>
      </w:r>
    </w:p>
    <w:p>
      <w:pPr>
        <w:ind w:firstLine="835" w:firstLineChars="297"/>
        <w:jc w:val="left"/>
        <w:rPr>
          <w:rFonts w:hint="eastAsia" w:ascii="仿宋" w:hAnsi="仿宋" w:eastAsia="仿宋" w:cs="仿宋"/>
          <w:b/>
          <w:sz w:val="28"/>
          <w:szCs w:val="28"/>
        </w:rPr>
      </w:pPr>
      <w:r>
        <w:rPr>
          <w:rFonts w:hint="eastAsia" w:ascii="仿宋" w:hAnsi="仿宋" w:eastAsia="仿宋" w:cs="仿宋"/>
          <w:b/>
          <w:sz w:val="28"/>
          <w:szCs w:val="28"/>
        </w:rPr>
        <w:t>委托单位：临猗县财政局</w:t>
      </w:r>
    </w:p>
    <w:p>
      <w:pPr>
        <w:ind w:firstLine="835" w:firstLineChars="297"/>
        <w:jc w:val="left"/>
        <w:rPr>
          <w:rFonts w:hint="eastAsia" w:ascii="仿宋" w:hAnsi="仿宋" w:eastAsia="仿宋" w:cs="仿宋"/>
          <w:b/>
          <w:sz w:val="28"/>
          <w:szCs w:val="28"/>
        </w:rPr>
      </w:pPr>
      <w:r>
        <w:rPr>
          <w:rFonts w:hint="eastAsia" w:ascii="仿宋" w:hAnsi="仿宋" w:eastAsia="仿宋" w:cs="仿宋"/>
          <w:b/>
          <w:sz w:val="28"/>
          <w:szCs w:val="28"/>
        </w:rPr>
        <w:t>评价机构：山西广和会计师事务所有限公司</w:t>
      </w:r>
    </w:p>
    <w:p>
      <w:pPr>
        <w:jc w:val="left"/>
        <w:rPr>
          <w:rFonts w:hint="eastAsia" w:ascii="仿宋" w:hAnsi="仿宋" w:eastAsia="仿宋" w:cs="仿宋"/>
          <w:b/>
          <w:sz w:val="30"/>
          <w:szCs w:val="30"/>
        </w:rPr>
      </w:pPr>
    </w:p>
    <w:p>
      <w:pPr>
        <w:pStyle w:val="2"/>
        <w:rPr>
          <w:rFonts w:hint="eastAsia" w:ascii="仿宋" w:hAnsi="仿宋" w:eastAsia="仿宋" w:cs="仿宋"/>
          <w:b/>
          <w:sz w:val="30"/>
          <w:szCs w:val="30"/>
        </w:rPr>
      </w:pPr>
    </w:p>
    <w:p>
      <w:pPr>
        <w:pStyle w:val="2"/>
        <w:rPr>
          <w:rFonts w:hint="eastAsia" w:ascii="仿宋" w:hAnsi="仿宋" w:eastAsia="仿宋" w:cs="仿宋"/>
          <w:b/>
          <w:sz w:val="30"/>
          <w:szCs w:val="30"/>
        </w:rPr>
      </w:pPr>
    </w:p>
    <w:p>
      <w:pPr>
        <w:jc w:val="center"/>
        <w:rPr>
          <w:rFonts w:hint="eastAsia" w:ascii="仿宋" w:hAnsi="仿宋" w:eastAsia="仿宋" w:cs="仿宋"/>
          <w:b/>
          <w:sz w:val="32"/>
          <w:szCs w:val="32"/>
        </w:rPr>
        <w:sectPr>
          <w:footerReference r:id="rId3" w:type="firs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b/>
          <w:sz w:val="32"/>
          <w:szCs w:val="32"/>
        </w:rPr>
        <w:t>20</w:t>
      </w:r>
      <w:r>
        <w:rPr>
          <w:rFonts w:hint="eastAsia" w:ascii="仿宋" w:hAnsi="仿宋" w:eastAsia="仿宋" w:cs="仿宋"/>
          <w:b/>
          <w:sz w:val="32"/>
          <w:szCs w:val="32"/>
          <w:lang w:val="en-US" w:eastAsia="zh-CN"/>
        </w:rPr>
        <w:t>21</w:t>
      </w:r>
      <w:r>
        <w:rPr>
          <w:rFonts w:hint="eastAsia" w:ascii="仿宋" w:hAnsi="仿宋" w:eastAsia="仿宋" w:cs="仿宋"/>
          <w:b/>
          <w:sz w:val="32"/>
          <w:szCs w:val="32"/>
        </w:rPr>
        <w:t>年</w:t>
      </w:r>
      <w:r>
        <w:rPr>
          <w:rFonts w:hint="eastAsia" w:ascii="仿宋" w:hAnsi="仿宋" w:eastAsia="仿宋" w:cs="仿宋"/>
          <w:b/>
          <w:sz w:val="32"/>
          <w:szCs w:val="32"/>
          <w:lang w:val="en-US" w:eastAsia="zh-CN"/>
        </w:rPr>
        <w:t>10</w:t>
      </w:r>
      <w:r>
        <w:rPr>
          <w:rFonts w:hint="eastAsia" w:ascii="仿宋" w:hAnsi="仿宋" w:eastAsia="仿宋" w:cs="仿宋"/>
          <w:b/>
          <w:sz w:val="32"/>
          <w:szCs w:val="32"/>
        </w:rPr>
        <w:t>月</w:t>
      </w:r>
    </w:p>
    <w:p>
      <w:pPr>
        <w:pStyle w:val="2"/>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eastAsia="宋体" w:cs="Times New Roman"/>
          <w:kern w:val="2"/>
          <w:sz w:val="21"/>
          <w:szCs w:val="24"/>
          <w:lang w:val="en-US" w:eastAsia="zh-CN" w:bidi="ar-SA"/>
        </w:rPr>
        <w:id w:val="147478963"/>
        <w15:color w:val="DBDBDB"/>
        <w:docPartObj>
          <w:docPartGallery w:val="Table of Contents"/>
          <w:docPartUnique/>
        </w:docPartObj>
      </w:sdtPr>
      <w:sdtEndPr>
        <w:rPr>
          <w:rFonts w:hint="eastAsia" w:ascii="仿宋_GB2312" w:hAnsi="Times New Roman" w:eastAsia="仿宋_GB2312" w:cs="Times New Roman"/>
          <w:b/>
          <w:kern w:val="2"/>
          <w:sz w:val="30"/>
          <w:szCs w:val="24"/>
          <w:lang w:val="en-US" w:eastAsia="zh-CN" w:bidi="ar-SA"/>
        </w:rPr>
      </w:sdtEndPr>
      <w:sdtContent>
        <w:p>
          <w:pPr>
            <w:spacing w:before="0" w:beforeLines="0" w:after="0" w:afterLines="0" w:line="240" w:lineRule="auto"/>
            <w:ind w:left="0" w:leftChars="0" w:right="0" w:rightChars="0" w:firstLine="0" w:firstLineChars="0"/>
            <w:jc w:val="center"/>
            <w:rPr>
              <w:b/>
              <w:bCs/>
            </w:rPr>
          </w:pPr>
          <w:r>
            <w:rPr>
              <w:rFonts w:ascii="宋体" w:hAnsi="宋体" w:eastAsia="宋体"/>
              <w:b/>
              <w:bCs/>
              <w:sz w:val="21"/>
            </w:rPr>
            <w:t>目</w:t>
          </w:r>
          <w:r>
            <w:rPr>
              <w:rFonts w:hint="eastAsia" w:ascii="宋体" w:hAnsi="宋体"/>
              <w:b/>
              <w:bCs/>
              <w:sz w:val="21"/>
              <w:lang w:val="en-US" w:eastAsia="zh-CN"/>
            </w:rPr>
            <w:t xml:space="preserve">  </w:t>
          </w:r>
          <w:r>
            <w:rPr>
              <w:rFonts w:ascii="宋体" w:hAnsi="宋体" w:eastAsia="宋体"/>
              <w:b/>
              <w:bCs/>
              <w:sz w:val="21"/>
            </w:rPr>
            <w:t>录</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lang w:val="en-US" w:eastAsia="zh-CN"/>
            </w:rPr>
          </w:pPr>
          <w:r>
            <w:rPr>
              <w:rFonts w:hint="eastAsia" w:ascii="仿宋" w:hAnsi="仿宋" w:eastAsia="仿宋" w:cs="仿宋"/>
            </w:rPr>
            <w:t>摘  要</w:t>
          </w:r>
          <w:r>
            <w:rPr>
              <w:rFonts w:hint="eastAsia" w:ascii="仿宋" w:hAnsi="仿宋" w:eastAsia="仿宋" w:cs="仿宋"/>
            </w:rPr>
            <w:tab/>
          </w:r>
          <w:r>
            <w:rPr>
              <w:rFonts w:hint="eastAsia" w:ascii="仿宋" w:hAnsi="仿宋" w:eastAsia="仿宋" w:cs="仿宋"/>
              <w:lang w:val="en-US" w:eastAsia="zh-CN"/>
            </w:rPr>
            <w:t>1</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临猗县老干部局2020年度整体支出绩效评价报告</w:t>
          </w:r>
          <w:r>
            <w:rPr>
              <w:rFonts w:hint="eastAsia" w:ascii="仿宋" w:hAnsi="仿宋" w:eastAsia="仿宋" w:cs="仿宋"/>
            </w:rPr>
            <w:tab/>
          </w:r>
          <w:r>
            <w:rPr>
              <w:rFonts w:hint="eastAsia" w:ascii="仿宋" w:hAnsi="仿宋" w:eastAsia="仿宋" w:cs="仿宋"/>
            </w:rPr>
            <w:t>6</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一、部门基本情况</w:t>
          </w:r>
          <w:r>
            <w:rPr>
              <w:rFonts w:hint="eastAsia" w:ascii="仿宋" w:hAnsi="仿宋" w:eastAsia="仿宋" w:cs="仿宋"/>
            </w:rPr>
            <w:tab/>
          </w:r>
          <w:r>
            <w:rPr>
              <w:rFonts w:hint="eastAsia" w:ascii="仿宋" w:hAnsi="仿宋" w:eastAsia="仿宋" w:cs="仿宋"/>
            </w:rPr>
            <w:t>6</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（一）部门概况</w:t>
          </w:r>
          <w:r>
            <w:rPr>
              <w:rFonts w:hint="eastAsia" w:ascii="仿宋" w:hAnsi="仿宋" w:eastAsia="仿宋" w:cs="仿宋"/>
            </w:rPr>
            <w:tab/>
          </w:r>
          <w:r>
            <w:rPr>
              <w:rFonts w:hint="eastAsia" w:ascii="仿宋" w:hAnsi="仿宋" w:eastAsia="仿宋" w:cs="仿宋"/>
            </w:rPr>
            <w:t>6</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（二）部门预算批复及整体支出情况</w:t>
          </w:r>
          <w:r>
            <w:rPr>
              <w:rFonts w:hint="eastAsia" w:ascii="仿宋" w:hAnsi="仿宋" w:eastAsia="仿宋" w:cs="仿宋"/>
            </w:rPr>
            <w:tab/>
          </w:r>
          <w:r>
            <w:rPr>
              <w:rFonts w:hint="eastAsia" w:ascii="仿宋" w:hAnsi="仿宋" w:eastAsia="仿宋" w:cs="仿宋"/>
            </w:rPr>
            <w:t>8</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（三）部门整体绩效目标</w:t>
          </w:r>
          <w:r>
            <w:rPr>
              <w:rFonts w:hint="eastAsia" w:ascii="仿宋" w:hAnsi="仿宋" w:eastAsia="仿宋" w:cs="仿宋"/>
            </w:rPr>
            <w:tab/>
          </w:r>
          <w:r>
            <w:rPr>
              <w:rFonts w:hint="eastAsia" w:ascii="仿宋" w:hAnsi="仿宋" w:eastAsia="仿宋" w:cs="仿宋"/>
            </w:rPr>
            <w:t>10</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二、评价工作情况</w:t>
          </w:r>
          <w:r>
            <w:rPr>
              <w:rFonts w:hint="eastAsia" w:ascii="仿宋" w:hAnsi="仿宋" w:eastAsia="仿宋" w:cs="仿宋"/>
            </w:rPr>
            <w:tab/>
          </w:r>
          <w:r>
            <w:rPr>
              <w:rFonts w:hint="eastAsia" w:ascii="仿宋" w:hAnsi="仿宋" w:eastAsia="仿宋" w:cs="仿宋"/>
            </w:rPr>
            <w:t>11</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（一）绩效评价的目的和依据</w:t>
          </w:r>
          <w:r>
            <w:rPr>
              <w:rFonts w:hint="eastAsia" w:ascii="仿宋" w:hAnsi="仿宋" w:eastAsia="仿宋" w:cs="仿宋"/>
            </w:rPr>
            <w:tab/>
          </w:r>
          <w:r>
            <w:rPr>
              <w:rFonts w:hint="eastAsia" w:ascii="仿宋" w:hAnsi="仿宋" w:eastAsia="仿宋" w:cs="仿宋"/>
            </w:rPr>
            <w:t>11</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（二）绩效评价的对象和范围</w:t>
          </w:r>
          <w:r>
            <w:rPr>
              <w:rFonts w:hint="eastAsia" w:ascii="仿宋" w:hAnsi="仿宋" w:eastAsia="仿宋" w:cs="仿宋"/>
            </w:rPr>
            <w:tab/>
          </w:r>
          <w:r>
            <w:rPr>
              <w:rFonts w:hint="eastAsia" w:ascii="仿宋" w:hAnsi="仿宋" w:eastAsia="仿宋" w:cs="仿宋"/>
            </w:rPr>
            <w:t>12</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（三）绩效评价原则</w:t>
          </w:r>
          <w:r>
            <w:rPr>
              <w:rFonts w:hint="eastAsia" w:ascii="仿宋" w:hAnsi="仿宋" w:eastAsia="仿宋" w:cs="仿宋"/>
            </w:rPr>
            <w:tab/>
          </w:r>
          <w:r>
            <w:rPr>
              <w:rFonts w:hint="eastAsia" w:ascii="仿宋" w:hAnsi="仿宋" w:eastAsia="仿宋" w:cs="仿宋"/>
            </w:rPr>
            <w:t>12</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（四）绩效评价的方法</w:t>
          </w:r>
          <w:r>
            <w:rPr>
              <w:rFonts w:hint="eastAsia" w:ascii="仿宋" w:hAnsi="仿宋" w:eastAsia="仿宋" w:cs="仿宋"/>
            </w:rPr>
            <w:tab/>
          </w:r>
          <w:r>
            <w:rPr>
              <w:rFonts w:hint="eastAsia" w:ascii="仿宋" w:hAnsi="仿宋" w:eastAsia="仿宋" w:cs="仿宋"/>
            </w:rPr>
            <w:t>13</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（五）评价的组织及实施</w:t>
          </w:r>
          <w:r>
            <w:rPr>
              <w:rFonts w:hint="eastAsia" w:ascii="仿宋" w:hAnsi="仿宋" w:eastAsia="仿宋" w:cs="仿宋"/>
            </w:rPr>
            <w:tab/>
          </w:r>
          <w:r>
            <w:rPr>
              <w:rFonts w:hint="eastAsia" w:ascii="仿宋" w:hAnsi="仿宋" w:eastAsia="仿宋" w:cs="仿宋"/>
            </w:rPr>
            <w:t>14</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三、绩效评价指标体系</w:t>
          </w:r>
          <w:r>
            <w:rPr>
              <w:rFonts w:hint="eastAsia" w:ascii="仿宋" w:hAnsi="仿宋" w:eastAsia="仿宋" w:cs="仿宋"/>
            </w:rPr>
            <w:tab/>
          </w:r>
          <w:r>
            <w:rPr>
              <w:rFonts w:hint="eastAsia" w:ascii="仿宋" w:hAnsi="仿宋" w:eastAsia="仿宋" w:cs="仿宋"/>
            </w:rPr>
            <w:t>15</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（一）指标体系设计思路</w:t>
          </w:r>
          <w:r>
            <w:rPr>
              <w:rFonts w:hint="eastAsia" w:ascii="仿宋" w:hAnsi="仿宋" w:eastAsia="仿宋" w:cs="仿宋"/>
            </w:rPr>
            <w:tab/>
          </w:r>
          <w:r>
            <w:rPr>
              <w:rFonts w:hint="eastAsia" w:ascii="仿宋" w:hAnsi="仿宋" w:eastAsia="仿宋" w:cs="仿宋"/>
            </w:rPr>
            <w:t>15</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（二）评价指标设置</w:t>
          </w:r>
          <w:r>
            <w:rPr>
              <w:rFonts w:hint="eastAsia" w:ascii="仿宋" w:hAnsi="仿宋" w:eastAsia="仿宋" w:cs="仿宋"/>
            </w:rPr>
            <w:tab/>
          </w:r>
          <w:r>
            <w:rPr>
              <w:rFonts w:hint="eastAsia" w:ascii="仿宋" w:hAnsi="仿宋" w:eastAsia="仿宋" w:cs="仿宋"/>
            </w:rPr>
            <w:t>16</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（三）分值评级</w:t>
          </w:r>
          <w:r>
            <w:rPr>
              <w:rFonts w:hint="eastAsia" w:ascii="仿宋" w:hAnsi="仿宋" w:eastAsia="仿宋" w:cs="仿宋"/>
            </w:rPr>
            <w:tab/>
          </w:r>
          <w:r>
            <w:rPr>
              <w:rFonts w:hint="eastAsia" w:ascii="仿宋" w:hAnsi="仿宋" w:eastAsia="仿宋" w:cs="仿宋"/>
            </w:rPr>
            <w:t>17</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四、绩效评价指标分析情况</w:t>
          </w:r>
          <w:r>
            <w:rPr>
              <w:rFonts w:hint="eastAsia" w:ascii="仿宋" w:hAnsi="仿宋" w:eastAsia="仿宋" w:cs="仿宋"/>
            </w:rPr>
            <w:tab/>
          </w:r>
          <w:r>
            <w:rPr>
              <w:rFonts w:hint="eastAsia" w:ascii="仿宋" w:hAnsi="仿宋" w:eastAsia="仿宋" w:cs="仿宋"/>
            </w:rPr>
            <w:t>17</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（一）履职效能分析</w:t>
          </w:r>
          <w:r>
            <w:rPr>
              <w:rFonts w:hint="eastAsia" w:ascii="仿宋" w:hAnsi="仿宋" w:eastAsia="仿宋" w:cs="仿宋"/>
            </w:rPr>
            <w:tab/>
          </w:r>
          <w:r>
            <w:rPr>
              <w:rFonts w:hint="eastAsia" w:ascii="仿宋" w:hAnsi="仿宋" w:eastAsia="仿宋" w:cs="仿宋"/>
            </w:rPr>
            <w:t>17</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（二）管理效率分析</w:t>
          </w:r>
          <w:r>
            <w:rPr>
              <w:rFonts w:hint="eastAsia" w:ascii="仿宋" w:hAnsi="仿宋" w:eastAsia="仿宋" w:cs="仿宋"/>
            </w:rPr>
            <w:tab/>
          </w:r>
          <w:r>
            <w:rPr>
              <w:rFonts w:hint="eastAsia" w:ascii="仿宋" w:hAnsi="仿宋" w:eastAsia="仿宋" w:cs="仿宋"/>
            </w:rPr>
            <w:t>32</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（三）社会效应分析</w:t>
          </w:r>
          <w:r>
            <w:rPr>
              <w:rFonts w:hint="eastAsia" w:ascii="仿宋" w:hAnsi="仿宋" w:eastAsia="仿宋" w:cs="仿宋"/>
            </w:rPr>
            <w:tab/>
          </w:r>
          <w:r>
            <w:rPr>
              <w:rFonts w:hint="eastAsia" w:ascii="仿宋" w:hAnsi="仿宋" w:eastAsia="仿宋" w:cs="仿宋"/>
            </w:rPr>
            <w:t>41</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（四）可持续性分析</w:t>
          </w:r>
          <w:r>
            <w:rPr>
              <w:rFonts w:hint="eastAsia" w:ascii="仿宋" w:hAnsi="仿宋" w:eastAsia="仿宋" w:cs="仿宋"/>
            </w:rPr>
            <w:tab/>
          </w:r>
          <w:r>
            <w:rPr>
              <w:rFonts w:hint="eastAsia" w:ascii="仿宋" w:hAnsi="仿宋" w:eastAsia="仿宋" w:cs="仿宋"/>
            </w:rPr>
            <w:t>44</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五、总体评分结果及评价结论</w:t>
          </w:r>
          <w:r>
            <w:rPr>
              <w:rFonts w:hint="eastAsia" w:ascii="仿宋" w:hAnsi="仿宋" w:eastAsia="仿宋" w:cs="仿宋"/>
            </w:rPr>
            <w:tab/>
          </w:r>
          <w:r>
            <w:rPr>
              <w:rFonts w:hint="eastAsia" w:ascii="仿宋" w:hAnsi="仿宋" w:eastAsia="仿宋" w:cs="仿宋"/>
            </w:rPr>
            <w:t>45</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（一）总体评分结果</w:t>
          </w:r>
          <w:r>
            <w:rPr>
              <w:rFonts w:hint="eastAsia" w:ascii="仿宋" w:hAnsi="仿宋" w:eastAsia="仿宋" w:cs="仿宋"/>
            </w:rPr>
            <w:tab/>
          </w:r>
          <w:r>
            <w:rPr>
              <w:rFonts w:hint="eastAsia" w:ascii="仿宋" w:hAnsi="仿宋" w:eastAsia="仿宋" w:cs="仿宋"/>
            </w:rPr>
            <w:t>46</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（二）评价结论</w:t>
          </w:r>
          <w:r>
            <w:rPr>
              <w:rFonts w:hint="eastAsia" w:ascii="仿宋" w:hAnsi="仿宋" w:eastAsia="仿宋" w:cs="仿宋"/>
            </w:rPr>
            <w:tab/>
          </w:r>
          <w:r>
            <w:rPr>
              <w:rFonts w:hint="eastAsia" w:ascii="仿宋" w:hAnsi="仿宋" w:eastAsia="仿宋" w:cs="仿宋"/>
            </w:rPr>
            <w:t>46</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六、主要成绩</w:t>
          </w:r>
          <w:r>
            <w:rPr>
              <w:rFonts w:hint="eastAsia" w:ascii="仿宋" w:hAnsi="仿宋" w:eastAsia="仿宋" w:cs="仿宋"/>
            </w:rPr>
            <w:tab/>
          </w:r>
          <w:r>
            <w:rPr>
              <w:rFonts w:hint="eastAsia" w:ascii="仿宋" w:hAnsi="仿宋" w:eastAsia="仿宋" w:cs="仿宋"/>
            </w:rPr>
            <w:t>47</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七、存在的主要问题及改进意见</w:t>
          </w:r>
          <w:r>
            <w:rPr>
              <w:rFonts w:hint="eastAsia" w:ascii="仿宋" w:hAnsi="仿宋" w:eastAsia="仿宋" w:cs="仿宋"/>
            </w:rPr>
            <w:tab/>
          </w:r>
          <w:r>
            <w:rPr>
              <w:rFonts w:hint="eastAsia" w:ascii="仿宋" w:hAnsi="仿宋" w:eastAsia="仿宋" w:cs="仿宋"/>
            </w:rPr>
            <w:t>48</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（一）存在的主要问题</w:t>
          </w:r>
          <w:r>
            <w:rPr>
              <w:rFonts w:hint="eastAsia" w:ascii="仿宋" w:hAnsi="仿宋" w:eastAsia="仿宋" w:cs="仿宋"/>
            </w:rPr>
            <w:tab/>
          </w:r>
          <w:r>
            <w:rPr>
              <w:rFonts w:hint="eastAsia" w:ascii="仿宋" w:hAnsi="仿宋" w:eastAsia="仿宋" w:cs="仿宋"/>
            </w:rPr>
            <w:t>48</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（二）改进意见</w:t>
          </w:r>
          <w:r>
            <w:rPr>
              <w:rFonts w:hint="eastAsia" w:ascii="仿宋" w:hAnsi="仿宋" w:eastAsia="仿宋" w:cs="仿宋"/>
            </w:rPr>
            <w:tab/>
          </w:r>
          <w:r>
            <w:rPr>
              <w:rFonts w:hint="eastAsia" w:ascii="仿宋" w:hAnsi="仿宋" w:eastAsia="仿宋" w:cs="仿宋"/>
            </w:rPr>
            <w:t>49</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八、绩效评价结果应用建议</w:t>
          </w:r>
          <w:r>
            <w:rPr>
              <w:rFonts w:hint="eastAsia" w:ascii="仿宋" w:hAnsi="仿宋" w:eastAsia="仿宋" w:cs="仿宋"/>
            </w:rPr>
            <w:tab/>
          </w:r>
          <w:r>
            <w:rPr>
              <w:rFonts w:hint="eastAsia" w:ascii="仿宋" w:hAnsi="仿宋" w:eastAsia="仿宋" w:cs="仿宋"/>
            </w:rPr>
            <w:t>50</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附件1：绩效评价指标评分表</w:t>
          </w:r>
          <w:r>
            <w:rPr>
              <w:rFonts w:hint="eastAsia" w:ascii="仿宋" w:hAnsi="仿宋" w:eastAsia="仿宋" w:cs="仿宋"/>
            </w:rPr>
            <w:tab/>
          </w:r>
          <w:r>
            <w:rPr>
              <w:rFonts w:hint="eastAsia" w:ascii="仿宋" w:hAnsi="仿宋" w:eastAsia="仿宋" w:cs="仿宋"/>
            </w:rPr>
            <w:t>52</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附件2：调查问卷分析报告</w:t>
          </w:r>
          <w:r>
            <w:rPr>
              <w:rFonts w:hint="eastAsia" w:ascii="仿宋" w:hAnsi="仿宋" w:eastAsia="仿宋" w:cs="仿宋"/>
            </w:rPr>
            <w:tab/>
          </w:r>
          <w:r>
            <w:rPr>
              <w:rFonts w:hint="eastAsia" w:ascii="仿宋" w:hAnsi="仿宋" w:eastAsia="仿宋" w:cs="仿宋"/>
            </w:rPr>
            <w:t>62</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rPr>
          </w:pPr>
          <w:r>
            <w:rPr>
              <w:rFonts w:hint="eastAsia" w:ascii="仿宋" w:hAnsi="仿宋" w:eastAsia="仿宋" w:cs="仿宋"/>
            </w:rPr>
            <w:t>附件3：反映项目绩效的照片</w:t>
          </w:r>
          <w:r>
            <w:rPr>
              <w:rFonts w:hint="eastAsia" w:ascii="仿宋" w:hAnsi="仿宋" w:eastAsia="仿宋" w:cs="仿宋"/>
            </w:rPr>
            <w:tab/>
          </w:r>
          <w:r>
            <w:rPr>
              <w:rFonts w:hint="eastAsia" w:ascii="仿宋" w:hAnsi="仿宋" w:eastAsia="仿宋" w:cs="仿宋"/>
            </w:rPr>
            <w:t>66</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288" w:lineRule="auto"/>
            <w:textAlignment w:val="auto"/>
            <w:rPr>
              <w:rFonts w:hint="eastAsia" w:ascii="仿宋" w:hAnsi="仿宋" w:eastAsia="仿宋" w:cs="仿宋"/>
              <w:szCs w:val="28"/>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rPr>
            <w:t>附件4：整体支出绩效评价合规性检查</w:t>
          </w:r>
          <w:r>
            <w:rPr>
              <w:rFonts w:hint="eastAsia" w:ascii="仿宋" w:hAnsi="仿宋" w:eastAsia="仿宋" w:cs="仿宋"/>
            </w:rPr>
            <w:tab/>
          </w:r>
          <w:r>
            <w:rPr>
              <w:rFonts w:hint="eastAsia" w:ascii="仿宋" w:hAnsi="仿宋" w:eastAsia="仿宋" w:cs="仿宋"/>
            </w:rPr>
            <w:t>70</w:t>
          </w:r>
        </w:p>
        <w:p>
          <w:pPr>
            <w:pStyle w:val="2"/>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Content>
    </w:sdt>
    <w:p>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b/>
          <w:bCs/>
          <w:sz w:val="36"/>
          <w:szCs w:val="36"/>
          <w:lang w:val="en-US" w:eastAsia="zh-CN"/>
        </w:rPr>
      </w:pPr>
      <w:bookmarkStart w:id="0" w:name="_Toc10375"/>
      <w:r>
        <w:rPr>
          <w:rFonts w:hint="eastAsia"/>
          <w:b/>
          <w:bCs/>
          <w:sz w:val="36"/>
          <w:szCs w:val="36"/>
          <w:lang w:val="en-US" w:eastAsia="zh-CN"/>
        </w:rPr>
        <w:t>摘  要</w:t>
      </w:r>
      <w:bookmarkEnd w:id="0"/>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sz w:val="28"/>
          <w:szCs w:val="28"/>
          <w:highlight w:val="none"/>
          <w:lang w:val="en-US" w:eastAsia="zh-CN"/>
        </w:rPr>
      </w:pPr>
      <w:bookmarkStart w:id="1" w:name="_Toc13429_WPSOffice_Level1"/>
      <w:bookmarkStart w:id="2" w:name="_Toc10139_WPSOffice_Level1"/>
      <w:bookmarkStart w:id="3" w:name="_Toc3191_WPSOffice_Level1"/>
      <w:bookmarkStart w:id="4" w:name="_Toc17584_WPSOffice_Level1"/>
      <w:bookmarkStart w:id="5" w:name="_Toc1130_WPSOffice_Level1"/>
      <w:bookmarkStart w:id="6" w:name="_Toc12898_WPSOffice_Level1"/>
      <w:bookmarkStart w:id="7" w:name="_Toc21200_WPSOffice_Level1"/>
      <w:bookmarkStart w:id="8" w:name="_Toc10379_WPSOffice_Level1"/>
      <w:bookmarkStart w:id="9" w:name="_Toc25652_WPSOffice_Level1"/>
      <w:bookmarkStart w:id="10" w:name="_Toc31436_WPSOffice_Level1"/>
      <w:r>
        <w:rPr>
          <w:rFonts w:hint="eastAsia" w:ascii="仿宋" w:hAnsi="仿宋" w:eastAsia="仿宋" w:cs="仿宋"/>
          <w:b/>
          <w:bCs/>
          <w:sz w:val="28"/>
          <w:szCs w:val="28"/>
          <w:highlight w:val="none"/>
          <w:lang w:val="en-US" w:eastAsia="zh-CN"/>
        </w:rPr>
        <w:t>一、</w:t>
      </w:r>
      <w:bookmarkEnd w:id="1"/>
      <w:bookmarkEnd w:id="2"/>
      <w:bookmarkEnd w:id="3"/>
      <w:bookmarkEnd w:id="4"/>
      <w:bookmarkEnd w:id="5"/>
      <w:bookmarkEnd w:id="6"/>
      <w:bookmarkEnd w:id="7"/>
      <w:bookmarkEnd w:id="8"/>
      <w:bookmarkEnd w:id="9"/>
      <w:r>
        <w:rPr>
          <w:rFonts w:hint="eastAsia" w:ascii="仿宋" w:hAnsi="仿宋" w:eastAsia="仿宋" w:cs="仿宋"/>
          <w:b/>
          <w:bCs/>
          <w:sz w:val="28"/>
          <w:szCs w:val="28"/>
          <w:highlight w:val="none"/>
          <w:lang w:val="en-US" w:eastAsia="zh-CN"/>
        </w:rPr>
        <w:t>部门概况</w:t>
      </w:r>
      <w:bookmarkEnd w:id="10"/>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b/>
          <w:bCs/>
          <w:sz w:val="28"/>
          <w:szCs w:val="28"/>
          <w:highlight w:val="none"/>
          <w:lang w:val="en-US" w:eastAsia="zh-CN"/>
        </w:rPr>
      </w:pPr>
      <w:bookmarkStart w:id="11" w:name="_Toc5536_WPSOffice_Level2"/>
      <w:r>
        <w:rPr>
          <w:rFonts w:hint="eastAsia" w:ascii="仿宋" w:hAnsi="仿宋" w:eastAsia="仿宋" w:cs="仿宋"/>
          <w:b/>
          <w:bCs/>
          <w:sz w:val="28"/>
          <w:szCs w:val="28"/>
          <w:highlight w:val="none"/>
          <w:lang w:val="en-US" w:eastAsia="zh-CN"/>
        </w:rPr>
        <w:t>（一）部门简介</w:t>
      </w:r>
      <w:bookmarkEnd w:id="11"/>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中国共产党临猗县委员会老干部局（以下称临猗县老干部局），是临猗县委正科级工作机关；下属事业单位：临猗县老干部活动中心（临猗县老年大学）。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临猗县老干部局主要负责</w:t>
      </w:r>
      <w:r>
        <w:rPr>
          <w:rFonts w:hint="eastAsia" w:ascii="仿宋" w:hAnsi="仿宋" w:eastAsia="仿宋" w:cs="仿宋"/>
          <w:sz w:val="28"/>
          <w:szCs w:val="28"/>
          <w:lang w:val="en-US" w:eastAsia="zh-CN"/>
        </w:rPr>
        <w:t>贯彻党中央、国务院、省委</w:t>
      </w:r>
      <w:r>
        <w:rPr>
          <w:rFonts w:hint="eastAsia" w:ascii="仿宋" w:hAnsi="仿宋" w:eastAsia="仿宋" w:cs="仿宋"/>
          <w:strike w:val="0"/>
          <w:dstrike w:val="0"/>
          <w:sz w:val="28"/>
          <w:szCs w:val="28"/>
          <w:highlight w:val="none"/>
          <w:lang w:val="en-US" w:eastAsia="zh-CN"/>
        </w:rPr>
        <w:t>贯彻党中央、国务院、省委、省政府、市委、市政府关于离退休干部工作的方针政策；督促离退休干部政治待遇和生活待遇的落实；检查、督促、指导离退休干部的政治建设、思想建设和党组织建设；组织指导离退休干部学习活动阵地建设，开展文体健身活动；</w:t>
      </w:r>
      <w:r>
        <w:rPr>
          <w:rFonts w:hint="eastAsia" w:ascii="仿宋" w:hAnsi="仿宋" w:eastAsia="仿宋" w:cs="仿宋"/>
          <w:sz w:val="28"/>
          <w:szCs w:val="28"/>
          <w:lang w:val="en-US" w:eastAsia="zh-CN"/>
        </w:rPr>
        <w:t>指导全县离退休干部工作机构的自身建设</w:t>
      </w:r>
      <w:r>
        <w:rPr>
          <w:rFonts w:hint="eastAsia" w:ascii="仿宋" w:hAnsi="仿宋" w:eastAsia="仿宋" w:cs="仿宋"/>
          <w:strike w:val="0"/>
          <w:dstrike w:val="0"/>
          <w:sz w:val="28"/>
          <w:szCs w:val="28"/>
          <w:highlight w:val="none"/>
          <w:lang w:val="en-US" w:eastAsia="zh-CN"/>
        </w:rPr>
        <w:t>；负责抓好离退休干部学习教育工作，办好各级老年大学。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临猗县老干部活动中心（临猗县老年大学）主要负责：</w:t>
      </w:r>
      <w:r>
        <w:rPr>
          <w:rFonts w:hint="eastAsia" w:ascii="仿宋" w:hAnsi="仿宋" w:eastAsia="仿宋" w:cs="仿宋"/>
          <w:strike w:val="0"/>
          <w:dstrike w:val="0"/>
          <w:kern w:val="2"/>
          <w:sz w:val="28"/>
          <w:szCs w:val="28"/>
          <w:highlight w:val="none"/>
          <w:lang w:val="en-US" w:eastAsia="zh-CN" w:bidi="ar-SA"/>
        </w:rPr>
        <w:t>贯彻落实党中央、省委、市委关于老干部工作和老年教育工作的方针政策和县委决策部署，在履行职责过程中坚持和加强党对老干部工作和老年教育工作的集中统一领导。</w:t>
      </w:r>
    </w:p>
    <w:p>
      <w:pPr>
        <w:ind w:firstLine="691"/>
        <w:outlineLvl w:val="0"/>
        <w:rPr>
          <w:rFonts w:hint="default"/>
          <w:highlight w:val="yellow"/>
          <w:lang w:val="en-US" w:eastAsia="zh-CN"/>
        </w:rPr>
      </w:pPr>
      <w:r>
        <w:rPr>
          <w:rFonts w:hint="eastAsia" w:ascii="仿宋" w:hAnsi="仿宋" w:eastAsia="仿宋" w:cs="仿宋"/>
          <w:b/>
          <w:bCs/>
          <w:sz w:val="28"/>
          <w:szCs w:val="28"/>
          <w:highlight w:val="none"/>
          <w:lang w:val="en-US" w:eastAsia="zh-CN"/>
        </w:rPr>
        <w:t>（二）</w:t>
      </w:r>
      <w:r>
        <w:rPr>
          <w:rFonts w:hint="eastAsia" w:ascii="仿宋" w:hAnsi="仿宋" w:eastAsia="仿宋" w:cs="仿宋"/>
          <w:b/>
          <w:bCs w:val="0"/>
          <w:sz w:val="28"/>
          <w:szCs w:val="28"/>
          <w:highlight w:val="none"/>
          <w:lang w:val="en-US" w:eastAsia="zh-CN"/>
        </w:rPr>
        <w:t>2020年主要工作任务</w:t>
      </w:r>
    </w:p>
    <w:p>
      <w:pPr>
        <w:pStyle w:val="2"/>
        <w:numPr>
          <w:ilvl w:val="0"/>
          <w:numId w:val="1"/>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完成2020年春节慰问离退休干部工作。</w:t>
      </w:r>
    </w:p>
    <w:p>
      <w:pPr>
        <w:pStyle w:val="2"/>
        <w:numPr>
          <w:ilvl w:val="0"/>
          <w:numId w:val="1"/>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完成“两会”服务工作。</w:t>
      </w:r>
    </w:p>
    <w:p>
      <w:pPr>
        <w:pStyle w:val="2"/>
        <w:numPr>
          <w:ilvl w:val="0"/>
          <w:numId w:val="1"/>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组织离退休干部健康体检。</w:t>
      </w:r>
    </w:p>
    <w:p>
      <w:pPr>
        <w:pStyle w:val="2"/>
        <w:numPr>
          <w:ilvl w:val="0"/>
          <w:numId w:val="1"/>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举办老干部工作人员及党支部书记培训班。</w:t>
      </w:r>
    </w:p>
    <w:p>
      <w:pPr>
        <w:pStyle w:val="2"/>
        <w:numPr>
          <w:ilvl w:val="0"/>
          <w:numId w:val="1"/>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优化老干部活动设施，组建临猗老干部门球队。</w:t>
      </w:r>
    </w:p>
    <w:p>
      <w:pPr>
        <w:pStyle w:val="2"/>
        <w:numPr>
          <w:ilvl w:val="0"/>
          <w:numId w:val="1"/>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推进社区“四就近”工作。</w:t>
      </w:r>
    </w:p>
    <w:p>
      <w:pPr>
        <w:pStyle w:val="2"/>
        <w:numPr>
          <w:ilvl w:val="0"/>
          <w:numId w:val="1"/>
        </w:num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组织老年活动中心、老年大学、老干部党支部、老年音乐舞蹈协会、老年书画协会、老年体协开展学习教育及文体活动。</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（三）2020年度主要工作完成情况及成绩</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b w:val="0"/>
          <w:bCs w:val="0"/>
          <w:sz w:val="28"/>
          <w:szCs w:val="28"/>
          <w:highlight w:val="none"/>
          <w:lang w:val="en-US" w:eastAsia="zh-CN"/>
        </w:rPr>
      </w:pPr>
      <w:r>
        <w:rPr>
          <w:rFonts w:hint="eastAsia"/>
          <w:b w:val="0"/>
          <w:bCs w:val="0"/>
          <w:sz w:val="28"/>
          <w:szCs w:val="28"/>
          <w:highlight w:val="none"/>
          <w:lang w:val="en-US" w:eastAsia="zh-CN"/>
        </w:rPr>
        <w:t>2020年临猗县老干部局围绕学习贯彻党的十九届三中、四中、五中全会精神，按照县委“四四二”发展思路要求，发挥老干部的政治优势、经验优势和威望优势，开拓创新、求真务实，完成了2020年春节离退休干部慰问工作；做好县“两会”服务工作；优化了老干部活动设施，组建了老干部门球队；深入推进社区“四就近”拓展工作；扎实做好离退休干部疫情常态化防控工作；以“党建立县”为指导，打造了离退休干部党建品牌，抓好典型宣传，助推党建工作深入开展。克服疫情影响，开展了离休干部和县团级干部健康体检工作、举办了老干部工作人员及党支部书记培训班。</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b w:val="0"/>
          <w:bCs w:val="0"/>
          <w:sz w:val="28"/>
          <w:szCs w:val="28"/>
          <w:highlight w:val="none"/>
          <w:lang w:val="en-US" w:eastAsia="zh-CN"/>
        </w:rPr>
      </w:pPr>
      <w:r>
        <w:rPr>
          <w:rFonts w:hint="eastAsia"/>
          <w:b w:val="0"/>
          <w:bCs w:val="0"/>
          <w:sz w:val="28"/>
          <w:szCs w:val="28"/>
          <w:highlight w:val="none"/>
          <w:lang w:val="en-US" w:eastAsia="zh-CN"/>
        </w:rPr>
        <w:t>2020年临猗县老干部局在疫情防控工作方面，组织全体人员线上学习相关精神，并按照县委防控支部会要求，下沉到社区站岗值班；并引导老同志通过卡口站岗、社区宣传、捐款捐物等志愿服务活动。</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b w:val="0"/>
          <w:bCs w:val="0"/>
          <w:sz w:val="28"/>
          <w:szCs w:val="28"/>
          <w:highlight w:val="none"/>
          <w:lang w:val="en-US" w:eastAsia="zh-CN"/>
        </w:rPr>
      </w:pPr>
      <w:r>
        <w:rPr>
          <w:rFonts w:hint="eastAsia"/>
          <w:b w:val="0"/>
          <w:bCs w:val="0"/>
          <w:sz w:val="28"/>
          <w:szCs w:val="28"/>
          <w:highlight w:val="none"/>
          <w:lang w:val="en-US" w:eastAsia="zh-CN"/>
        </w:rPr>
        <w:t>2020年临猗县老干部局通过整合离退休干部人才资源，建立了离退休干部人才信息库，按照专业特点进行了分类，建立了相应的团体组织，形成了一个人才聚集、影响广泛的宽阔平台，有农业人才库、工业人才库、党建人才库、法制人才库等。</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b w:val="0"/>
          <w:bCs w:val="0"/>
          <w:sz w:val="28"/>
          <w:szCs w:val="28"/>
          <w:highlight w:val="none"/>
          <w:lang w:val="en-US" w:eastAsia="zh-CN"/>
        </w:rPr>
      </w:pPr>
      <w:r>
        <w:rPr>
          <w:rFonts w:hint="eastAsia"/>
          <w:b w:val="0"/>
          <w:bCs w:val="0"/>
          <w:sz w:val="28"/>
          <w:szCs w:val="28"/>
          <w:highlight w:val="none"/>
          <w:lang w:val="en-US" w:eastAsia="zh-CN"/>
        </w:rPr>
        <w:t>2020年临猗县老干部局深化拓展了为党和人民事业增添正能量活动，加大了先进典型宣传力度。主要是深化拓展“增添正能量·共筑中国梦”系列活动，组织引导离退休干部建言献策，增添正能量。同时培树典型，及时总结宣传老干部发挥作用的先进事例，加大了舆论宣传工作，充分展示了新时代离退休干部的精神风貌。</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（四）部门整体收支情况</w:t>
      </w:r>
    </w:p>
    <w:p>
      <w:pPr>
        <w:pStyle w:val="2"/>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2020年4月28日临猗县财政局以临财预指〔2020〕001号文件批复临猗县老干部局2020年部门预算，总计1,977,490.00元。其中：基本支出1,139,490.00元，项目支出838,000.00元。</w:t>
      </w:r>
    </w:p>
    <w:p>
      <w:pPr>
        <w:pStyle w:val="2"/>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临猗县老干部局2020年共取得收入2,602,076.83元，其中：基本支出1,276,062.43元，项目支出1,326,014.40元。</w:t>
      </w:r>
    </w:p>
    <w:p>
      <w:pPr>
        <w:pStyle w:val="2"/>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临猗县老干部局2020年共支出2,602,076.83元，其中：基本支出1,276,062.43元，项目支出1,326,014.40元。</w:t>
      </w:r>
    </w:p>
    <w:p>
      <w:pPr>
        <w:pStyle w:val="2"/>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临猗县老干部局2020年年初无财政结转资金，年末无财政结余资金。</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二、评价结论</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_GB2312" w:hAnsi="Times New Roman" w:eastAsia="仿宋_GB2312" w:cs="Times New Roman"/>
          <w:b w:val="0"/>
          <w:bCs w:val="0"/>
          <w:kern w:val="2"/>
          <w:sz w:val="28"/>
          <w:szCs w:val="28"/>
          <w:lang w:val="en-US" w:eastAsia="zh-CN" w:bidi="ar-SA"/>
        </w:rPr>
      </w:pPr>
      <w:r>
        <w:rPr>
          <w:rFonts w:hint="eastAsia" w:ascii="仿宋_GB2312" w:eastAsia="仿宋_GB2312" w:cs="Times New Roman"/>
          <w:b w:val="0"/>
          <w:bCs w:val="0"/>
          <w:kern w:val="2"/>
          <w:sz w:val="28"/>
          <w:szCs w:val="28"/>
          <w:lang w:val="en-US" w:eastAsia="zh-CN" w:bidi="ar-SA"/>
        </w:rPr>
        <w:t>临猗县老干部局2020</w:t>
      </w:r>
      <w:r>
        <w:rPr>
          <w:rFonts w:hint="eastAsia" w:ascii="仿宋_GB2312" w:hAnsi="Times New Roman" w:eastAsia="仿宋_GB2312" w:cs="Times New Roman"/>
          <w:b w:val="0"/>
          <w:bCs w:val="0"/>
          <w:kern w:val="2"/>
          <w:sz w:val="28"/>
          <w:szCs w:val="28"/>
          <w:lang w:val="en-US" w:eastAsia="zh-CN" w:bidi="ar-SA"/>
        </w:rPr>
        <w:t>年度整体支出绩效总得分为</w:t>
      </w:r>
      <w:r>
        <w:rPr>
          <w:rFonts w:hint="eastAsia" w:ascii="仿宋_GB2312" w:eastAsia="仿宋_GB2312" w:cs="Times New Roman"/>
          <w:b w:val="0"/>
          <w:bCs w:val="0"/>
          <w:kern w:val="2"/>
          <w:sz w:val="28"/>
          <w:szCs w:val="28"/>
          <w:lang w:val="en-US" w:eastAsia="zh-CN" w:bidi="ar-SA"/>
        </w:rPr>
        <w:t>87.69</w:t>
      </w:r>
      <w:r>
        <w:rPr>
          <w:rFonts w:hint="eastAsia" w:ascii="仿宋_GB2312" w:hAnsi="Times New Roman" w:eastAsia="仿宋_GB2312" w:cs="Times New Roman"/>
          <w:b w:val="0"/>
          <w:bCs w:val="0"/>
          <w:kern w:val="2"/>
          <w:sz w:val="28"/>
          <w:szCs w:val="28"/>
          <w:lang w:val="en-US" w:eastAsia="zh-CN" w:bidi="ar-SA"/>
        </w:rPr>
        <w:t>分，绩效评级为“</w:t>
      </w:r>
      <w:r>
        <w:rPr>
          <w:rFonts w:hint="eastAsia" w:ascii="仿宋_GB2312" w:eastAsia="仿宋_GB2312" w:cs="Times New Roman"/>
          <w:b w:val="0"/>
          <w:bCs w:val="0"/>
          <w:kern w:val="2"/>
          <w:sz w:val="28"/>
          <w:szCs w:val="28"/>
          <w:lang w:val="en-US" w:eastAsia="zh-CN" w:bidi="ar-SA"/>
        </w:rPr>
        <w:t>良</w:t>
      </w:r>
      <w:r>
        <w:rPr>
          <w:rFonts w:hint="eastAsia" w:ascii="仿宋_GB2312" w:hAnsi="Times New Roman" w:eastAsia="仿宋_GB2312" w:cs="Times New Roman"/>
          <w:b w:val="0"/>
          <w:bCs w:val="0"/>
          <w:kern w:val="2"/>
          <w:sz w:val="28"/>
          <w:szCs w:val="28"/>
          <w:lang w:val="en-US" w:eastAsia="zh-CN" w:bidi="ar-SA"/>
        </w:rPr>
        <w:t>”，各指标详细打分情况见附件1。具体得分情况见下表：</w:t>
      </w:r>
    </w:p>
    <w:p>
      <w:pPr>
        <w:pStyle w:val="11"/>
        <w:framePr w:wrap="auto" w:vAnchor="margin" w:hAnchor="text" w:yAlign="inline"/>
        <w:adjustRightInd w:val="0"/>
        <w:snapToGrid w:val="0"/>
        <w:spacing w:line="560" w:lineRule="exact"/>
        <w:ind w:firstLine="0"/>
        <w:jc w:val="center"/>
        <w:rPr>
          <w:rFonts w:ascii="仿宋" w:hAnsi="仿宋" w:eastAsia="仿宋" w:cs="楷体_GB2312"/>
          <w:b/>
          <w:bCs/>
          <w:color w:val="auto"/>
          <w:szCs w:val="24"/>
          <w:lang w:val="zh-TW"/>
        </w:rPr>
      </w:pPr>
      <w:r>
        <w:rPr>
          <w:rFonts w:hint="eastAsia" w:ascii="仿宋" w:hAnsi="仿宋" w:eastAsia="仿宋" w:cs="楷体_GB2312"/>
          <w:b/>
          <w:bCs/>
          <w:color w:val="auto"/>
          <w:szCs w:val="24"/>
          <w:lang w:val="zh-TW"/>
        </w:rPr>
        <w:t xml:space="preserve">  </w:t>
      </w:r>
      <w:r>
        <w:rPr>
          <w:rFonts w:hint="eastAsia" w:ascii="仿宋" w:hAnsi="仿宋" w:eastAsia="仿宋" w:cs="楷体_GB2312"/>
          <w:b/>
          <w:bCs/>
          <w:color w:val="auto"/>
          <w:szCs w:val="24"/>
          <w:lang w:val="zh-TW" w:eastAsia="zh-TW"/>
        </w:rPr>
        <w:t>项目绩效评价得分表</w:t>
      </w:r>
    </w:p>
    <w:tbl>
      <w:tblPr>
        <w:tblStyle w:val="7"/>
        <w:tblW w:w="5000" w:type="pct"/>
        <w:jc w:val="center"/>
        <w:shd w:val="clear" w:color="auto" w:fill="auto"/>
        <w:tblLayout w:type="autofit"/>
        <w:tblCellMar>
          <w:top w:w="0" w:type="dxa"/>
          <w:left w:w="0" w:type="dxa"/>
          <w:bottom w:w="0" w:type="dxa"/>
          <w:right w:w="0" w:type="dxa"/>
        </w:tblCellMar>
      </w:tblPr>
      <w:tblGrid>
        <w:gridCol w:w="2081"/>
        <w:gridCol w:w="2081"/>
        <w:gridCol w:w="2081"/>
        <w:gridCol w:w="2081"/>
      </w:tblGrid>
      <w:tr>
        <w:tblPrEx>
          <w:shd w:val="clear" w:color="auto" w:fill="auto"/>
          <w:tblCellMar>
            <w:top w:w="0" w:type="dxa"/>
            <w:left w:w="0" w:type="dxa"/>
            <w:bottom w:w="0" w:type="dxa"/>
            <w:right w:w="0" w:type="dxa"/>
          </w:tblCellMar>
        </w:tblPrEx>
        <w:trPr>
          <w:trHeight w:val="403" w:hRule="atLeast"/>
          <w:tblHeader/>
          <w:jc w:val="center"/>
        </w:trPr>
        <w:tc>
          <w:tcPr>
            <w:tcW w:w="208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一级指标</w:t>
            </w:r>
          </w:p>
        </w:tc>
        <w:tc>
          <w:tcPr>
            <w:tcW w:w="208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权重</w:t>
            </w:r>
          </w:p>
        </w:tc>
        <w:tc>
          <w:tcPr>
            <w:tcW w:w="208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 xml:space="preserve"> 得分 </w:t>
            </w:r>
          </w:p>
        </w:tc>
        <w:tc>
          <w:tcPr>
            <w:tcW w:w="208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得分率</w:t>
            </w:r>
          </w:p>
        </w:tc>
      </w:tr>
      <w:tr>
        <w:tblPrEx>
          <w:tblCellMar>
            <w:top w:w="0" w:type="dxa"/>
            <w:left w:w="0" w:type="dxa"/>
            <w:bottom w:w="0" w:type="dxa"/>
            <w:right w:w="0" w:type="dxa"/>
          </w:tblCellMar>
        </w:tblPrEx>
        <w:trPr>
          <w:trHeight w:val="400" w:hRule="atLeast"/>
          <w:jc w:val="center"/>
        </w:trPr>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highlight w:val="none"/>
                <w:u w:val="none"/>
                <w:lang w:val="en-US" w:eastAsia="zh-CN" w:bidi="ar"/>
              </w:rPr>
              <w:t>A履职效能</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highlight w:val="none"/>
                <w:u w:val="none"/>
                <w:lang w:val="en-US" w:eastAsia="zh-CN"/>
              </w:rPr>
              <w:t xml:space="preserve">18.90 </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highlight w:val="none"/>
                <w:u w:val="none"/>
                <w:lang w:val="en-US" w:eastAsia="zh-CN"/>
              </w:rPr>
              <w:t>94.50%</w:t>
            </w:r>
          </w:p>
        </w:tc>
      </w:tr>
      <w:tr>
        <w:tblPrEx>
          <w:tblCellMar>
            <w:top w:w="0" w:type="dxa"/>
            <w:left w:w="0" w:type="dxa"/>
            <w:bottom w:w="0" w:type="dxa"/>
            <w:right w:w="0" w:type="dxa"/>
          </w:tblCellMar>
        </w:tblPrEx>
        <w:trPr>
          <w:trHeight w:val="400" w:hRule="atLeast"/>
          <w:jc w:val="center"/>
        </w:trPr>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highlight w:val="none"/>
                <w:u w:val="none"/>
                <w:lang w:val="en-US" w:eastAsia="zh-CN" w:bidi="ar"/>
              </w:rPr>
              <w:t>B管理效率</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sz w:val="24"/>
                <w:szCs w:val="24"/>
                <w:highlight w:val="none"/>
                <w:u w:val="none"/>
                <w:lang w:val="en-US" w:eastAsia="zh-CN"/>
              </w:rPr>
              <w:t xml:space="preserve">43.24 </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highlight w:val="none"/>
                <w:u w:val="none"/>
                <w:lang w:val="en-US" w:eastAsia="zh-CN"/>
              </w:rPr>
              <w:t>86.48%</w:t>
            </w:r>
          </w:p>
        </w:tc>
      </w:tr>
      <w:tr>
        <w:tblPrEx>
          <w:tblCellMar>
            <w:top w:w="0" w:type="dxa"/>
            <w:left w:w="0" w:type="dxa"/>
            <w:bottom w:w="0" w:type="dxa"/>
            <w:right w:w="0" w:type="dxa"/>
          </w:tblCellMar>
        </w:tblPrEx>
        <w:trPr>
          <w:trHeight w:val="400" w:hRule="atLeast"/>
          <w:jc w:val="center"/>
        </w:trPr>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highlight w:val="none"/>
                <w:u w:val="none"/>
                <w:lang w:val="en-US" w:eastAsia="zh-CN" w:bidi="ar"/>
              </w:rPr>
              <w:t>C社会效应</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highlight w:val="none"/>
                <w:u w:val="none"/>
                <w:lang w:val="en-US" w:eastAsia="zh-CN"/>
              </w:rPr>
              <w:t xml:space="preserve">18.55 </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highlight w:val="none"/>
                <w:u w:val="none"/>
                <w:lang w:val="en-US" w:eastAsia="zh-CN"/>
              </w:rPr>
              <w:t>92.75%</w:t>
            </w:r>
          </w:p>
        </w:tc>
      </w:tr>
      <w:tr>
        <w:tblPrEx>
          <w:tblCellMar>
            <w:top w:w="0" w:type="dxa"/>
            <w:left w:w="0" w:type="dxa"/>
            <w:bottom w:w="0" w:type="dxa"/>
            <w:right w:w="0" w:type="dxa"/>
          </w:tblCellMar>
        </w:tblPrEx>
        <w:trPr>
          <w:trHeight w:val="400" w:hRule="atLeast"/>
          <w:jc w:val="center"/>
        </w:trPr>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highlight w:val="none"/>
                <w:u w:val="none"/>
                <w:lang w:val="en-US" w:eastAsia="zh-CN" w:bidi="ar"/>
              </w:rPr>
              <w:t>D可持续性</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highlight w:val="none"/>
                <w:u w:val="none"/>
                <w:lang w:val="en-US" w:eastAsia="zh-CN"/>
              </w:rPr>
              <w:t xml:space="preserve">7.00 </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highlight w:val="none"/>
                <w:u w:val="none"/>
                <w:lang w:val="en-US" w:eastAsia="zh-CN"/>
              </w:rPr>
              <w:t>70.00%</w:t>
            </w:r>
          </w:p>
        </w:tc>
      </w:tr>
      <w:tr>
        <w:tblPrEx>
          <w:tblCellMar>
            <w:top w:w="0" w:type="dxa"/>
            <w:left w:w="0" w:type="dxa"/>
            <w:bottom w:w="0" w:type="dxa"/>
            <w:right w:w="0" w:type="dxa"/>
          </w:tblCellMar>
        </w:tblPrEx>
        <w:trPr>
          <w:trHeight w:val="400" w:hRule="atLeast"/>
          <w:jc w:val="center"/>
        </w:trPr>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highlight w:val="none"/>
                <w:u w:val="none"/>
                <w:lang w:val="en-US" w:eastAsia="zh-CN" w:bidi="ar"/>
              </w:rPr>
              <w:t>合计</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highlight w:val="none"/>
                <w:u w:val="none"/>
                <w:lang w:val="en-US" w:eastAsia="zh-CN"/>
              </w:rPr>
              <w:t xml:space="preserve">87.69 </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highlight w:val="none"/>
                <w:u w:val="none"/>
                <w:lang w:val="en-US" w:eastAsia="zh-CN"/>
              </w:rPr>
              <w:t>87.69%</w:t>
            </w:r>
          </w:p>
        </w:tc>
      </w:tr>
    </w:tbl>
    <w:p>
      <w:pPr>
        <w:pStyle w:val="10"/>
        <w:keepNext w:val="0"/>
        <w:keepLines w:val="0"/>
        <w:pageBreakBefore w:val="0"/>
        <w:widowControl w:val="0"/>
        <w:kinsoku/>
        <w:wordWrap/>
        <w:overflowPunct/>
        <w:topLinePunct w:val="0"/>
        <w:autoSpaceDE/>
        <w:autoSpaceDN/>
        <w:bidi w:val="0"/>
        <w:adjustRightInd/>
        <w:snapToGrid/>
        <w:spacing w:line="560" w:lineRule="exact"/>
        <w:ind w:firstLine="562"/>
        <w:textAlignment w:val="auto"/>
        <w:outlineLvl w:val="9"/>
        <w:rPr>
          <w:b/>
        </w:rPr>
      </w:pPr>
      <w:r>
        <w:rPr>
          <w:rFonts w:hint="eastAsia" w:ascii="仿宋" w:hAnsi="仿宋" w:eastAsia="仿宋"/>
          <w:b/>
          <w:lang w:val="en-US" w:eastAsia="zh-CN"/>
        </w:rPr>
        <w:t>三</w:t>
      </w:r>
      <w:r>
        <w:rPr>
          <w:rFonts w:hint="eastAsia" w:ascii="仿宋" w:hAnsi="仿宋" w:eastAsia="仿宋"/>
          <w:b/>
        </w:rPr>
        <w:t>、</w:t>
      </w:r>
      <w:r>
        <w:rPr>
          <w:b/>
        </w:rPr>
        <w:t>存在的主要问题及改进意见</w:t>
      </w:r>
    </w:p>
    <w:p>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b/>
          <w:bCs/>
          <w:sz w:val="28"/>
          <w:szCs w:val="28"/>
          <w:highlight w:val="none"/>
          <w:lang w:val="en-US" w:eastAsia="zh-CN"/>
        </w:rPr>
      </w:pPr>
      <w:r>
        <w:rPr>
          <w:rFonts w:hint="eastAsia"/>
          <w:b/>
          <w:bCs/>
          <w:sz w:val="28"/>
          <w:szCs w:val="28"/>
          <w:highlight w:val="none"/>
          <w:lang w:val="en-US" w:eastAsia="zh-CN"/>
        </w:rPr>
        <w:t>（一）存在的主要问题</w:t>
      </w:r>
    </w:p>
    <w:p>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sz w:val="28"/>
          <w:szCs w:val="28"/>
          <w:highlight w:val="none"/>
          <w:lang w:val="en-US" w:eastAsia="zh-CN"/>
        </w:rPr>
      </w:pPr>
      <w:r>
        <w:rPr>
          <w:rFonts w:hint="default"/>
          <w:b/>
          <w:bCs/>
          <w:sz w:val="28"/>
          <w:szCs w:val="28"/>
          <w:highlight w:val="none"/>
          <w:lang w:val="en-US" w:eastAsia="zh-CN"/>
        </w:rPr>
        <w:t>1.</w:t>
      </w:r>
      <w:r>
        <w:rPr>
          <w:rFonts w:hint="eastAsia"/>
          <w:b/>
          <w:bCs/>
          <w:sz w:val="28"/>
          <w:szCs w:val="28"/>
          <w:highlight w:val="none"/>
          <w:lang w:val="en-US" w:eastAsia="zh-CN"/>
        </w:rPr>
        <w:t>公车运行维护费超预算</w:t>
      </w:r>
    </w:p>
    <w:p>
      <w:pPr>
        <w:pStyle w:val="2"/>
        <w:numPr>
          <w:ilvl w:val="0"/>
          <w:numId w:val="0"/>
        </w:numPr>
        <w:ind w:firstLine="560" w:firstLineChars="200"/>
        <w:rPr>
          <w:rFonts w:hint="default"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临猗县老干部局2020年度公车运行维护费预算为12,000.00元，2020年度公车运维费实际支出13,904.00元，其中：公车运维费科目列支11,366.00元，办公费列支购汽车坐垫等费用433.00元，维修费列支车辆维修费2,105.00元。</w:t>
      </w:r>
    </w:p>
    <w:p>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sz w:val="28"/>
          <w:szCs w:val="28"/>
          <w:highlight w:val="none"/>
          <w:lang w:val="en-US" w:eastAsia="zh-CN"/>
        </w:rPr>
      </w:pPr>
      <w:r>
        <w:rPr>
          <w:rFonts w:hint="eastAsia"/>
          <w:b/>
          <w:bCs/>
          <w:sz w:val="28"/>
          <w:szCs w:val="28"/>
          <w:highlight w:val="none"/>
          <w:lang w:val="en-US" w:eastAsia="zh-CN"/>
        </w:rPr>
        <w:t>2</w:t>
      </w:r>
      <w:r>
        <w:rPr>
          <w:rFonts w:hint="default"/>
          <w:b/>
          <w:bCs/>
          <w:sz w:val="28"/>
          <w:szCs w:val="28"/>
          <w:highlight w:val="none"/>
          <w:lang w:val="en-US" w:eastAsia="zh-CN"/>
        </w:rPr>
        <w:t>.</w:t>
      </w:r>
      <w:r>
        <w:rPr>
          <w:rFonts w:hint="eastAsia"/>
          <w:b/>
          <w:bCs/>
          <w:sz w:val="28"/>
          <w:szCs w:val="28"/>
          <w:highlight w:val="none"/>
          <w:lang w:val="en-US" w:eastAsia="zh-CN"/>
        </w:rPr>
        <w:t>发票入账审核不严</w:t>
      </w:r>
    </w:p>
    <w:p>
      <w:pPr>
        <w:pStyle w:val="2"/>
        <w:numPr>
          <w:ilvl w:val="0"/>
          <w:numId w:val="0"/>
        </w:numPr>
        <w:ind w:firstLine="560" w:firstLineChars="200"/>
        <w:rPr>
          <w:rFonts w:hint="default"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临猗县老干部局2020年3月31日10#凭证，其他交通费用列支5,000.00元，后附票据为已作废长条客运票；2020年9月30日8#凭证，列支老年书画协会经费5,000.00元，后附票据为电脑维修，实际业务内容与票据内容不符。</w:t>
      </w:r>
    </w:p>
    <w:p>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sz w:val="28"/>
          <w:szCs w:val="28"/>
          <w:highlight w:val="none"/>
          <w:lang w:val="en-US" w:eastAsia="zh-CN"/>
        </w:rPr>
      </w:pPr>
      <w:r>
        <w:rPr>
          <w:rFonts w:hint="eastAsia"/>
          <w:b/>
          <w:bCs/>
          <w:sz w:val="28"/>
          <w:szCs w:val="28"/>
          <w:highlight w:val="none"/>
          <w:lang w:val="en-US" w:eastAsia="zh-CN"/>
        </w:rPr>
        <w:t>3</w:t>
      </w:r>
      <w:r>
        <w:rPr>
          <w:rFonts w:hint="default"/>
          <w:b/>
          <w:bCs/>
          <w:sz w:val="28"/>
          <w:szCs w:val="28"/>
          <w:highlight w:val="none"/>
          <w:lang w:val="en-US" w:eastAsia="zh-CN"/>
        </w:rPr>
        <w:t>.</w:t>
      </w:r>
      <w:r>
        <w:rPr>
          <w:rFonts w:hint="eastAsia"/>
          <w:b/>
          <w:bCs/>
          <w:sz w:val="28"/>
          <w:szCs w:val="28"/>
          <w:highlight w:val="none"/>
          <w:lang w:val="en-US" w:eastAsia="zh-CN"/>
        </w:rPr>
        <w:t>固定资产帐实不符</w:t>
      </w:r>
    </w:p>
    <w:p>
      <w:pPr>
        <w:pStyle w:val="2"/>
        <w:numPr>
          <w:ilvl w:val="0"/>
          <w:numId w:val="0"/>
        </w:numPr>
        <w:ind w:firstLine="560" w:firstLineChars="200"/>
        <w:rPr>
          <w:rFonts w:hint="eastAsia"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临猗县老干部局固定资产账面显示2000年12月份有1辆轿车（晋M28086）143,600.00元；经了解此车已在以前年度处置，目前已无该实物，未能做下账处理，导致帐实不符。</w:t>
      </w:r>
    </w:p>
    <w:p>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sz w:val="28"/>
          <w:szCs w:val="28"/>
          <w:highlight w:val="none"/>
          <w:lang w:val="en-US" w:eastAsia="zh-CN"/>
        </w:rPr>
      </w:pPr>
      <w:r>
        <w:rPr>
          <w:rFonts w:hint="eastAsia"/>
          <w:b/>
          <w:bCs/>
          <w:sz w:val="28"/>
          <w:szCs w:val="28"/>
          <w:highlight w:val="none"/>
          <w:lang w:val="en-US" w:eastAsia="zh-CN"/>
        </w:rPr>
        <w:t>4</w:t>
      </w:r>
      <w:r>
        <w:rPr>
          <w:rFonts w:hint="default"/>
          <w:b/>
          <w:bCs/>
          <w:sz w:val="28"/>
          <w:szCs w:val="28"/>
          <w:highlight w:val="none"/>
          <w:lang w:val="en-US" w:eastAsia="zh-CN"/>
        </w:rPr>
        <w:t>.</w:t>
      </w:r>
      <w:r>
        <w:rPr>
          <w:rFonts w:hint="eastAsia"/>
          <w:b/>
          <w:bCs/>
          <w:sz w:val="28"/>
          <w:szCs w:val="28"/>
          <w:highlight w:val="none"/>
          <w:lang w:val="en-US" w:eastAsia="zh-CN"/>
        </w:rPr>
        <w:t>项目经费支出混用</w:t>
      </w:r>
    </w:p>
    <w:p>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b/>
          <w:bCs/>
          <w:sz w:val="28"/>
          <w:szCs w:val="28"/>
          <w:highlight w:val="none"/>
          <w:lang w:val="en-US" w:eastAsia="zh-CN"/>
        </w:rPr>
      </w:pPr>
      <w:r>
        <w:rPr>
          <w:rFonts w:hint="eastAsia" w:ascii="仿宋" w:hAnsi="仿宋" w:eastAsia="仿宋" w:cs="仿宋"/>
          <w:b w:val="0"/>
          <w:bCs w:val="0"/>
          <w:kern w:val="0"/>
          <w:sz w:val="28"/>
          <w:szCs w:val="28"/>
          <w:highlight w:val="none"/>
          <w:lang w:val="en-US" w:eastAsia="zh-CN"/>
        </w:rPr>
        <w:t>临猗县老干部局2020年11月30日20#凭证，项目支出-老干部体检费列支27,035.20元，共体检75人，体检人员包括老干部局职工12人，县团级离退休干部35人，正能量先进个人老干部28人；使用经费包括老干部特需费支26,734.00元，老年音乐舞蹈协会经费支5.2元，老干部帮扶基金支192.00元，老干部支部活动经费支45.00元，日常公用经费支59.00元；问题为：项目支出-老干部体检费不应列支本部门职工的体检费用，体检费支出不应挪用其他项目经费。</w:t>
      </w:r>
    </w:p>
    <w:p>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sz w:val="28"/>
          <w:szCs w:val="28"/>
          <w:highlight w:val="none"/>
          <w:lang w:val="en-US" w:eastAsia="zh-CN"/>
        </w:rPr>
      </w:pPr>
      <w:r>
        <w:rPr>
          <w:rFonts w:hint="eastAsia"/>
          <w:b/>
          <w:bCs/>
          <w:sz w:val="28"/>
          <w:szCs w:val="28"/>
          <w:highlight w:val="none"/>
          <w:lang w:val="en-US" w:eastAsia="zh-CN"/>
        </w:rPr>
        <w:t>5</w:t>
      </w:r>
      <w:r>
        <w:rPr>
          <w:rFonts w:hint="default"/>
          <w:b/>
          <w:bCs/>
          <w:sz w:val="28"/>
          <w:szCs w:val="28"/>
          <w:highlight w:val="none"/>
          <w:lang w:val="en-US" w:eastAsia="zh-CN"/>
        </w:rPr>
        <w:t>.</w:t>
      </w:r>
      <w:r>
        <w:rPr>
          <w:rFonts w:hint="eastAsia"/>
          <w:b/>
          <w:bCs/>
          <w:sz w:val="28"/>
          <w:szCs w:val="28"/>
          <w:highlight w:val="none"/>
          <w:lang w:val="en-US" w:eastAsia="zh-CN"/>
        </w:rPr>
        <w:t>健康体检质量不高</w:t>
      </w:r>
    </w:p>
    <w:p>
      <w:pPr>
        <w:pStyle w:val="2"/>
        <w:numPr>
          <w:ilvl w:val="0"/>
          <w:numId w:val="0"/>
        </w:numPr>
        <w:ind w:firstLine="560" w:firstLineChars="200"/>
        <w:rPr>
          <w:rFonts w:hint="eastAsia"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临猗县老干部局2020年组织离退休干部进行了健康体检，体检项目与国家基本公卫服务中的老年人免费体检项目有多个重合，未能针对离休干部身体情况，针对性的进行专项体检，体检质量不高。</w:t>
      </w:r>
    </w:p>
    <w:p>
      <w:pPr>
        <w:spacing w:line="560" w:lineRule="exact"/>
        <w:ind w:firstLine="562" w:firstLineChars="200"/>
        <w:outlineLvl w:val="0"/>
        <w:rPr>
          <w:rFonts w:hint="eastAsia" w:ascii="仿宋" w:hAnsi="仿宋" w:eastAsia="仿宋" w:cs="仿宋"/>
          <w:sz w:val="28"/>
          <w:szCs w:val="28"/>
          <w:highlight w:val="none"/>
        </w:rPr>
      </w:pPr>
      <w:r>
        <w:rPr>
          <w:rFonts w:hint="eastAsia" w:ascii="仿宋" w:hAnsi="仿宋" w:eastAsia="仿宋" w:cs="仿宋"/>
          <w:b/>
          <w:sz w:val="28"/>
          <w:szCs w:val="28"/>
          <w:highlight w:val="none"/>
        </w:rPr>
        <w:t>（二）改进意见</w:t>
      </w:r>
    </w:p>
    <w:p>
      <w:pPr>
        <w:pStyle w:val="2"/>
        <w:numPr>
          <w:ilvl w:val="0"/>
          <w:numId w:val="0"/>
        </w:numPr>
        <w:ind w:firstLine="562" w:firstLineChars="200"/>
        <w:rPr>
          <w:rFonts w:hint="default" w:ascii="仿宋" w:hAnsi="仿宋" w:eastAsia="仿宋" w:cs="仿宋"/>
          <w:b/>
          <w:bCs/>
          <w:kern w:val="0"/>
          <w:sz w:val="28"/>
          <w:szCs w:val="28"/>
          <w:highlight w:val="none"/>
          <w:lang w:val="en-US" w:eastAsia="zh-CN"/>
        </w:rPr>
      </w:pPr>
      <w:r>
        <w:rPr>
          <w:rFonts w:hint="eastAsia" w:ascii="仿宋" w:hAnsi="仿宋" w:eastAsia="仿宋" w:cs="仿宋"/>
          <w:b/>
          <w:bCs/>
          <w:kern w:val="0"/>
          <w:sz w:val="28"/>
          <w:szCs w:val="28"/>
          <w:highlight w:val="none"/>
          <w:lang w:val="en-US" w:eastAsia="zh-CN"/>
        </w:rPr>
        <w:t>1.严格控制经费</w:t>
      </w:r>
    </w:p>
    <w:p>
      <w:pPr>
        <w:pStyle w:val="2"/>
        <w:numPr>
          <w:ilvl w:val="0"/>
          <w:numId w:val="0"/>
        </w:numPr>
        <w:ind w:firstLine="560" w:firstLineChars="200"/>
        <w:rPr>
          <w:rFonts w:hint="eastAsia"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建议临猗县老干部局强化内部控制措施，进一步控制公车运行维护费，杜绝“三公经费”超预算列支。</w:t>
      </w:r>
    </w:p>
    <w:p>
      <w:pPr>
        <w:pStyle w:val="2"/>
        <w:numPr>
          <w:ilvl w:val="0"/>
          <w:numId w:val="0"/>
        </w:numPr>
        <w:ind w:firstLine="562" w:firstLineChars="200"/>
        <w:rPr>
          <w:rFonts w:hint="default" w:ascii="仿宋" w:hAnsi="仿宋" w:eastAsia="仿宋" w:cs="仿宋"/>
          <w:b/>
          <w:bCs/>
          <w:kern w:val="0"/>
          <w:sz w:val="28"/>
          <w:szCs w:val="28"/>
          <w:highlight w:val="none"/>
          <w:lang w:val="en-US" w:eastAsia="zh-CN"/>
        </w:rPr>
      </w:pPr>
      <w:r>
        <w:rPr>
          <w:rFonts w:hint="eastAsia" w:ascii="仿宋" w:hAnsi="仿宋" w:eastAsia="仿宋" w:cs="仿宋"/>
          <w:b/>
          <w:bCs/>
          <w:kern w:val="0"/>
          <w:sz w:val="28"/>
          <w:szCs w:val="28"/>
          <w:highlight w:val="none"/>
          <w:lang w:val="en-US" w:eastAsia="zh-CN"/>
        </w:rPr>
        <w:t>2.加强入账审核</w:t>
      </w:r>
    </w:p>
    <w:p>
      <w:pPr>
        <w:ind w:firstLine="560" w:firstLineChars="200"/>
        <w:rPr>
          <w:rFonts w:hint="eastAsia"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建议临猗县老干部局在取得原始凭证后，严格按照报销流程，审核发票真伪及是否为过期作废票，核对票据内容和业务内容是否一致，对于不符合规定的票据，应拒绝办理报销手续。</w:t>
      </w:r>
    </w:p>
    <w:p>
      <w:pPr>
        <w:pStyle w:val="2"/>
        <w:numPr>
          <w:ilvl w:val="0"/>
          <w:numId w:val="0"/>
        </w:numPr>
        <w:ind w:firstLine="562" w:firstLineChars="200"/>
        <w:rPr>
          <w:rFonts w:hint="default" w:ascii="仿宋" w:hAnsi="仿宋" w:eastAsia="仿宋" w:cs="仿宋"/>
          <w:b/>
          <w:bCs/>
          <w:kern w:val="0"/>
          <w:sz w:val="28"/>
          <w:szCs w:val="28"/>
          <w:highlight w:val="none"/>
          <w:lang w:val="en-US" w:eastAsia="zh-CN"/>
        </w:rPr>
      </w:pPr>
      <w:r>
        <w:rPr>
          <w:rFonts w:hint="eastAsia" w:ascii="仿宋" w:hAnsi="仿宋" w:eastAsia="仿宋" w:cs="仿宋"/>
          <w:b/>
          <w:bCs/>
          <w:kern w:val="0"/>
          <w:sz w:val="28"/>
          <w:szCs w:val="28"/>
          <w:highlight w:val="none"/>
          <w:lang w:val="en-US" w:eastAsia="zh-CN"/>
        </w:rPr>
        <w:t>3.及时处理遗留问题</w:t>
      </w:r>
    </w:p>
    <w:p>
      <w:pPr>
        <w:pStyle w:val="2"/>
        <w:ind w:firstLine="560" w:firstLineChars="200"/>
        <w:rPr>
          <w:rFonts w:hint="default"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针对临猗县老干部局固定资产帐实不符问题，建议临猗县老干部局按照国有资产管理规定尽快处理，及时办理相关手续，继续执行固定资产盘点等控制手段，防止资产流失。</w:t>
      </w:r>
    </w:p>
    <w:p>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sz w:val="28"/>
          <w:szCs w:val="28"/>
          <w:highlight w:val="none"/>
          <w:lang w:val="en-US" w:eastAsia="zh-CN"/>
        </w:rPr>
      </w:pPr>
      <w:r>
        <w:rPr>
          <w:rFonts w:hint="eastAsia"/>
          <w:b/>
          <w:bCs/>
          <w:sz w:val="28"/>
          <w:szCs w:val="28"/>
          <w:highlight w:val="none"/>
          <w:lang w:val="en-US" w:eastAsia="zh-CN"/>
        </w:rPr>
        <w:t>4</w:t>
      </w:r>
      <w:r>
        <w:rPr>
          <w:rFonts w:hint="default"/>
          <w:b/>
          <w:bCs/>
          <w:sz w:val="28"/>
          <w:szCs w:val="28"/>
          <w:highlight w:val="none"/>
          <w:lang w:val="en-US" w:eastAsia="zh-CN"/>
        </w:rPr>
        <w:t>.</w:t>
      </w:r>
      <w:r>
        <w:rPr>
          <w:rFonts w:hint="eastAsia"/>
          <w:b/>
          <w:bCs/>
          <w:sz w:val="28"/>
          <w:szCs w:val="28"/>
          <w:highlight w:val="none"/>
          <w:lang w:val="en-US" w:eastAsia="zh-CN"/>
        </w:rPr>
        <w:t>严控项目经费支出范围</w:t>
      </w:r>
    </w:p>
    <w:p>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临猗县老干部局应严格控制项目支出使用范围，加强对项目经费的控制与监督，对于没有足额预算的项目，若其他资金有结余，可向财政及相关部门提出申请，得到批准后方能将结余资金用于资金不足项目，严禁未经批准随意调剂资金用途。</w:t>
      </w:r>
    </w:p>
    <w:p>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sz w:val="28"/>
          <w:szCs w:val="28"/>
          <w:highlight w:val="none"/>
          <w:lang w:val="en-US" w:eastAsia="zh-CN"/>
        </w:rPr>
      </w:pPr>
      <w:r>
        <w:rPr>
          <w:rFonts w:hint="eastAsia"/>
          <w:b/>
          <w:bCs/>
          <w:sz w:val="28"/>
          <w:szCs w:val="28"/>
          <w:highlight w:val="none"/>
          <w:lang w:val="en-US" w:eastAsia="zh-CN"/>
        </w:rPr>
        <w:t>5</w:t>
      </w:r>
      <w:r>
        <w:rPr>
          <w:rFonts w:hint="default"/>
          <w:b/>
          <w:bCs/>
          <w:sz w:val="28"/>
          <w:szCs w:val="28"/>
          <w:highlight w:val="none"/>
          <w:lang w:val="en-US" w:eastAsia="zh-CN"/>
        </w:rPr>
        <w:t>.</w:t>
      </w:r>
      <w:r>
        <w:rPr>
          <w:rFonts w:hint="eastAsia"/>
          <w:b/>
          <w:bCs/>
          <w:sz w:val="28"/>
          <w:szCs w:val="28"/>
          <w:highlight w:val="none"/>
          <w:lang w:val="en-US" w:eastAsia="zh-CN"/>
        </w:rPr>
        <w:t>设置专项健康体检项目</w:t>
      </w:r>
    </w:p>
    <w:p>
      <w:pPr>
        <w:pStyle w:val="2"/>
        <w:ind w:firstLine="560" w:firstLineChars="200"/>
        <w:rPr>
          <w:rFonts w:hint="default"/>
          <w:highlight w:val="none"/>
          <w:lang w:val="en-US"/>
        </w:rPr>
      </w:pPr>
      <w:r>
        <w:rPr>
          <w:rFonts w:hint="eastAsia" w:ascii="仿宋" w:hAnsi="仿宋" w:eastAsia="仿宋" w:cs="仿宋"/>
          <w:b w:val="0"/>
          <w:bCs w:val="0"/>
          <w:kern w:val="0"/>
          <w:sz w:val="28"/>
          <w:szCs w:val="28"/>
          <w:highlight w:val="none"/>
          <w:lang w:val="en-US" w:eastAsia="zh-CN"/>
        </w:rPr>
        <w:t>临猗县老干部局2020年共服务管理离休干部48人，且年龄越来越大，人数越来越少；应针对此部分人群身体情况，有针对性的设置专项体检，提高健康体检质量和效果。</w:t>
      </w:r>
    </w:p>
    <w:p>
      <w:pPr>
        <w:pStyle w:val="2"/>
        <w:ind w:firstLine="600" w:firstLineChars="200"/>
        <w:rPr>
          <w:rFonts w:hint="default"/>
          <w:lang w:val="en-US"/>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2"/>
        <w:ind w:firstLine="600" w:firstLineChars="200"/>
        <w:rPr>
          <w:rFonts w:hint="default"/>
          <w:lang w:val="en-US"/>
        </w:rPr>
      </w:pP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28"/>
          <w:szCs w:val="28"/>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jc w:val="center"/>
        <w:outlineLvl w:val="0"/>
        <w:rPr>
          <w:rFonts w:hint="eastAsia" w:ascii="仿宋" w:hAnsi="仿宋" w:eastAsia="仿宋" w:cs="仿宋"/>
          <w:b/>
          <w:bCs/>
          <w:sz w:val="36"/>
          <w:szCs w:val="44"/>
          <w:highlight w:val="none"/>
        </w:rPr>
      </w:pPr>
      <w:bookmarkStart w:id="12" w:name="_Toc29812"/>
      <w:r>
        <w:rPr>
          <w:rFonts w:hint="eastAsia" w:ascii="仿宋" w:hAnsi="仿宋" w:eastAsia="仿宋" w:cs="仿宋"/>
          <w:b/>
          <w:bCs/>
          <w:sz w:val="36"/>
          <w:szCs w:val="44"/>
          <w:highlight w:val="none"/>
        </w:rPr>
        <w:t>中国共产党临猗县委员会老干部局</w:t>
      </w:r>
    </w:p>
    <w:p>
      <w:pPr>
        <w:jc w:val="center"/>
        <w:outlineLvl w:val="0"/>
        <w:rPr>
          <w:rFonts w:hint="eastAsia" w:ascii="仿宋" w:hAnsi="仿宋" w:eastAsia="仿宋" w:cs="仿宋"/>
          <w:sz w:val="28"/>
          <w:szCs w:val="36"/>
          <w:highlight w:val="none"/>
          <w:lang w:val="en-US" w:eastAsia="zh-CN"/>
        </w:rPr>
      </w:pPr>
      <w:r>
        <w:rPr>
          <w:rFonts w:hint="eastAsia" w:ascii="仿宋" w:hAnsi="仿宋" w:eastAsia="仿宋" w:cs="仿宋"/>
          <w:b/>
          <w:bCs/>
          <w:sz w:val="36"/>
          <w:szCs w:val="44"/>
          <w:highlight w:val="none"/>
        </w:rPr>
        <w:t>2020年度整体支出绩效评价</w:t>
      </w:r>
      <w:r>
        <w:rPr>
          <w:rFonts w:hint="eastAsia" w:ascii="仿宋" w:hAnsi="仿宋" w:eastAsia="仿宋" w:cs="仿宋"/>
          <w:b/>
          <w:bCs/>
          <w:sz w:val="36"/>
          <w:szCs w:val="44"/>
          <w:highlight w:val="none"/>
          <w:lang w:val="en-US" w:eastAsia="zh-CN"/>
        </w:rPr>
        <w:t>报告</w:t>
      </w:r>
      <w:bookmarkEnd w:id="12"/>
    </w:p>
    <w:p>
      <w:pPr>
        <w:pStyle w:val="2"/>
        <w:jc w:val="right"/>
        <w:rPr>
          <w:rFonts w:hint="eastAsia" w:ascii="仿宋" w:hAnsi="仿宋" w:eastAsia="仿宋" w:cs="仿宋"/>
          <w:sz w:val="28"/>
          <w:szCs w:val="36"/>
          <w:highlight w:val="none"/>
        </w:rPr>
      </w:pPr>
      <w:r>
        <w:rPr>
          <w:rFonts w:hint="eastAsia" w:ascii="仿宋" w:hAnsi="仿宋" w:eastAsia="仿宋" w:cs="仿宋"/>
          <w:sz w:val="28"/>
          <w:szCs w:val="36"/>
          <w:highlight w:val="none"/>
        </w:rPr>
        <w:t>晋广和绩评（202</w:t>
      </w:r>
      <w:r>
        <w:rPr>
          <w:rFonts w:hint="eastAsia" w:ascii="仿宋" w:hAnsi="仿宋" w:eastAsia="仿宋" w:cs="仿宋"/>
          <w:sz w:val="28"/>
          <w:szCs w:val="36"/>
          <w:highlight w:val="none"/>
          <w:lang w:val="en-US" w:eastAsia="zh-CN"/>
        </w:rPr>
        <w:t>1</w:t>
      </w:r>
      <w:r>
        <w:rPr>
          <w:rFonts w:hint="eastAsia" w:ascii="仿宋" w:hAnsi="仿宋" w:eastAsia="仿宋" w:cs="仿宋"/>
          <w:sz w:val="28"/>
          <w:szCs w:val="36"/>
          <w:highlight w:val="none"/>
        </w:rPr>
        <w:t>）00</w:t>
      </w:r>
      <w:r>
        <w:rPr>
          <w:rFonts w:hint="eastAsia" w:ascii="仿宋" w:hAnsi="仿宋" w:eastAsia="仿宋" w:cs="仿宋"/>
          <w:sz w:val="28"/>
          <w:szCs w:val="36"/>
          <w:highlight w:val="none"/>
          <w:lang w:val="en-US" w:eastAsia="zh-CN"/>
        </w:rPr>
        <w:t>16</w:t>
      </w:r>
      <w:r>
        <w:rPr>
          <w:rFonts w:hint="eastAsia" w:ascii="仿宋" w:hAnsi="仿宋" w:eastAsia="仿宋" w:cs="仿宋"/>
          <w:sz w:val="28"/>
          <w:szCs w:val="36"/>
          <w:highlight w:val="none"/>
        </w:rPr>
        <w:t>号</w:t>
      </w:r>
    </w:p>
    <w:p>
      <w:pPr>
        <w:keepNext w:val="0"/>
        <w:keepLines w:val="0"/>
        <w:pageBreakBefore w:val="0"/>
        <w:widowControl w:val="0"/>
        <w:kinsoku/>
        <w:wordWrap/>
        <w:overflowPunct/>
        <w:topLinePunct w:val="0"/>
        <w:autoSpaceDE/>
        <w:autoSpaceDN/>
        <w:bidi w:val="0"/>
        <w:spacing w:line="240" w:lineRule="auto"/>
        <w:textAlignment w:val="auto"/>
        <w:rPr>
          <w:rFonts w:hint="eastAsia" w:ascii="仿宋" w:hAnsi="仿宋" w:eastAsia="仿宋" w:cs="仿宋"/>
          <w:sz w:val="28"/>
          <w:szCs w:val="36"/>
          <w:highlight w:val="none"/>
          <w:lang w:val="en-US" w:eastAsia="zh-CN"/>
        </w:rPr>
      </w:pPr>
      <w:r>
        <w:rPr>
          <w:rFonts w:hint="eastAsia" w:ascii="仿宋" w:hAnsi="仿宋" w:eastAsia="仿宋" w:cs="仿宋"/>
          <w:sz w:val="28"/>
          <w:szCs w:val="36"/>
          <w:highlight w:val="none"/>
          <w:lang w:val="en-US" w:eastAsia="zh-CN"/>
        </w:rPr>
        <w:t>临猗县财政局：</w:t>
      </w:r>
    </w:p>
    <w:p>
      <w:pPr>
        <w:pStyle w:val="2"/>
        <w:keepNext w:val="0"/>
        <w:keepLines w:val="0"/>
        <w:pageBreakBefore w:val="0"/>
        <w:widowControl w:val="0"/>
        <w:kinsoku/>
        <w:wordWrap/>
        <w:overflowPunct/>
        <w:topLinePunct w:val="0"/>
        <w:autoSpaceDE/>
        <w:autoSpaceDN/>
        <w:bidi w:val="0"/>
        <w:spacing w:line="240" w:lineRule="auto"/>
        <w:ind w:firstLine="560" w:firstLineChars="200"/>
        <w:textAlignment w:val="auto"/>
        <w:rPr>
          <w:rFonts w:hint="eastAsia" w:ascii="仿宋" w:hAnsi="仿宋" w:eastAsia="仿宋" w:cs="仿宋"/>
          <w:sz w:val="28"/>
          <w:szCs w:val="36"/>
          <w:highlight w:val="none"/>
          <w:lang w:val="en-US" w:eastAsia="zh-CN"/>
        </w:rPr>
      </w:pPr>
      <w:r>
        <w:rPr>
          <w:rFonts w:hint="eastAsia" w:ascii="仿宋" w:hAnsi="仿宋" w:eastAsia="仿宋" w:cs="仿宋"/>
          <w:sz w:val="28"/>
          <w:szCs w:val="28"/>
          <w:highlight w:val="none"/>
        </w:rPr>
        <w:t>为深入贯彻落实《中共山西省委山西省人民政府关于全面实施预算绩效管理的实施意见》，落实山西省财政工作会议的部署要求，全面实施预算绩效管理，提高财政资源配置效率和使用效益，增强政府公信力和执行力。根据《预算法》有关规定，按照《财政部关于印发&lt;项目支出绩效评价管理办法&gt;的通知》(财预〔2020〕10号)、《山西省财政厅关于印发&lt;山西省预算绩效评价管理办法&gt;的通知》（晋财资〔2014〕36号）等文件要求，我单位接</w:t>
      </w:r>
      <w:r>
        <w:rPr>
          <w:rFonts w:hint="eastAsia" w:ascii="仿宋" w:hAnsi="仿宋" w:eastAsia="仿宋" w:cs="仿宋"/>
          <w:sz w:val="28"/>
          <w:szCs w:val="28"/>
          <w:highlight w:val="none"/>
          <w:lang w:val="en-US" w:eastAsia="zh-CN"/>
        </w:rPr>
        <w:t>受</w:t>
      </w:r>
      <w:r>
        <w:rPr>
          <w:rFonts w:hint="eastAsia" w:ascii="仿宋" w:hAnsi="仿宋" w:eastAsia="仿宋" w:cs="仿宋"/>
          <w:sz w:val="28"/>
          <w:szCs w:val="28"/>
          <w:highlight w:val="none"/>
        </w:rPr>
        <w:t>贵</w:t>
      </w:r>
      <w:r>
        <w:rPr>
          <w:rFonts w:hint="eastAsia" w:ascii="仿宋" w:hAnsi="仿宋" w:eastAsia="仿宋" w:cs="仿宋"/>
          <w:sz w:val="28"/>
          <w:szCs w:val="28"/>
          <w:highlight w:val="none"/>
          <w:lang w:eastAsia="zh-CN"/>
        </w:rPr>
        <w:t>局</w:t>
      </w:r>
      <w:r>
        <w:rPr>
          <w:rFonts w:hint="eastAsia" w:ascii="仿宋" w:hAnsi="仿宋" w:eastAsia="仿宋" w:cs="仿宋"/>
          <w:sz w:val="28"/>
          <w:szCs w:val="28"/>
          <w:highlight w:val="none"/>
        </w:rPr>
        <w:t>委托，对</w:t>
      </w:r>
      <w:r>
        <w:rPr>
          <w:rFonts w:hint="eastAsia" w:ascii="仿宋" w:hAnsi="仿宋" w:eastAsia="仿宋" w:cs="仿宋"/>
          <w:sz w:val="28"/>
          <w:szCs w:val="28"/>
          <w:highlight w:val="none"/>
          <w:lang w:val="en-US" w:eastAsia="zh-CN"/>
        </w:rPr>
        <w:t>临猗县老干部局2020</w:t>
      </w:r>
      <w:r>
        <w:rPr>
          <w:rFonts w:hint="eastAsia" w:ascii="仿宋" w:hAnsi="仿宋" w:eastAsia="仿宋" w:cs="仿宋"/>
          <w:sz w:val="28"/>
          <w:szCs w:val="28"/>
          <w:highlight w:val="none"/>
        </w:rPr>
        <w:t>度整体支出进行绩效评价。评价结果为</w:t>
      </w:r>
      <w:r>
        <w:rPr>
          <w:rFonts w:hint="eastAsia" w:ascii="仿宋" w:hAnsi="仿宋" w:eastAsia="仿宋" w:cs="仿宋"/>
          <w:sz w:val="28"/>
          <w:szCs w:val="28"/>
          <w:highlight w:val="none"/>
          <w:lang w:val="en-US" w:eastAsia="zh-CN"/>
        </w:rPr>
        <w:t>87.69</w:t>
      </w:r>
      <w:r>
        <w:rPr>
          <w:rFonts w:hint="eastAsia" w:ascii="仿宋" w:hAnsi="仿宋" w:eastAsia="仿宋" w:cs="仿宋"/>
          <w:sz w:val="28"/>
          <w:szCs w:val="28"/>
          <w:highlight w:val="none"/>
        </w:rPr>
        <w:t>分。有关情况如下：</w:t>
      </w:r>
    </w:p>
    <w:p>
      <w:pPr>
        <w:pStyle w:val="2"/>
        <w:keepNext w:val="0"/>
        <w:keepLines w:val="0"/>
        <w:pageBreakBefore w:val="0"/>
        <w:widowControl w:val="0"/>
        <w:kinsoku/>
        <w:wordWrap/>
        <w:overflowPunct/>
        <w:topLinePunct w:val="0"/>
        <w:autoSpaceDE/>
        <w:autoSpaceDN/>
        <w:bidi w:val="0"/>
        <w:spacing w:line="240" w:lineRule="auto"/>
        <w:ind w:firstLine="562" w:firstLineChars="200"/>
        <w:textAlignment w:val="auto"/>
        <w:outlineLvl w:val="0"/>
        <w:rPr>
          <w:rFonts w:hint="default" w:ascii="仿宋" w:hAnsi="仿宋" w:eastAsia="仿宋" w:cs="仿宋"/>
          <w:b/>
          <w:bCs/>
          <w:sz w:val="28"/>
          <w:szCs w:val="36"/>
          <w:highlight w:val="none"/>
          <w:lang w:val="en-US" w:eastAsia="zh-CN"/>
        </w:rPr>
      </w:pPr>
      <w:bookmarkStart w:id="13" w:name="_Toc19328"/>
      <w:r>
        <w:rPr>
          <w:rFonts w:hint="eastAsia" w:ascii="仿宋" w:hAnsi="仿宋" w:eastAsia="仿宋" w:cs="仿宋"/>
          <w:b/>
          <w:bCs/>
          <w:sz w:val="28"/>
          <w:szCs w:val="36"/>
          <w:highlight w:val="none"/>
          <w:lang w:val="en-US" w:eastAsia="zh-CN"/>
        </w:rPr>
        <w:t>一、部门基本情况</w:t>
      </w:r>
      <w:bookmarkEnd w:id="13"/>
    </w:p>
    <w:p>
      <w:pPr>
        <w:pStyle w:val="2"/>
        <w:keepNext w:val="0"/>
        <w:keepLines w:val="0"/>
        <w:pageBreakBefore w:val="0"/>
        <w:widowControl w:val="0"/>
        <w:kinsoku/>
        <w:wordWrap/>
        <w:overflowPunct/>
        <w:topLinePunct w:val="0"/>
        <w:autoSpaceDE/>
        <w:autoSpaceDN/>
        <w:bidi w:val="0"/>
        <w:spacing w:line="240" w:lineRule="auto"/>
        <w:textAlignment w:val="auto"/>
        <w:outlineLvl w:val="1"/>
        <w:rPr>
          <w:rFonts w:hint="default" w:ascii="仿宋" w:hAnsi="仿宋" w:eastAsia="仿宋" w:cs="仿宋"/>
          <w:b/>
          <w:bCs/>
          <w:sz w:val="28"/>
          <w:szCs w:val="36"/>
          <w:highlight w:val="none"/>
          <w:lang w:val="en-US" w:eastAsia="zh-CN"/>
        </w:rPr>
      </w:pPr>
      <w:r>
        <w:rPr>
          <w:rFonts w:hint="eastAsia" w:ascii="仿宋" w:hAnsi="仿宋" w:eastAsia="仿宋" w:cs="仿宋"/>
          <w:b/>
          <w:bCs/>
          <w:sz w:val="28"/>
          <w:szCs w:val="36"/>
          <w:highlight w:val="none"/>
          <w:lang w:val="en-US" w:eastAsia="zh-CN"/>
        </w:rPr>
        <w:t xml:space="preserve">    </w:t>
      </w:r>
      <w:bookmarkStart w:id="14" w:name="_Toc28754"/>
      <w:r>
        <w:rPr>
          <w:rFonts w:hint="eastAsia" w:ascii="仿宋" w:hAnsi="仿宋" w:eastAsia="仿宋" w:cs="仿宋"/>
          <w:b/>
          <w:bCs/>
          <w:sz w:val="28"/>
          <w:szCs w:val="36"/>
          <w:highlight w:val="none"/>
          <w:lang w:val="en-US" w:eastAsia="zh-CN"/>
        </w:rPr>
        <w:t>（一）部门概况</w:t>
      </w:r>
      <w:bookmarkEnd w:id="14"/>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中国共产党临猗县委员会老干部局（以下称临猗县老干部局），是临猗县委正科级工作机关；下属事业单位：临猗县老干部活动中心（临猗县老年大学）。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临猗县老干部局主要负责贯彻党中央、国务院、省委</w:t>
      </w:r>
      <w:r>
        <w:rPr>
          <w:rFonts w:hint="eastAsia" w:ascii="仿宋" w:hAnsi="仿宋" w:eastAsia="仿宋" w:cs="仿宋"/>
          <w:strike w:val="0"/>
          <w:dstrike w:val="0"/>
          <w:sz w:val="28"/>
          <w:szCs w:val="28"/>
          <w:highlight w:val="none"/>
          <w:lang w:val="en-US" w:eastAsia="zh-CN"/>
        </w:rPr>
        <w:t>贯彻党中央、国务院、省委、省政府、市委、市政府关于离退休干部工作的方针政策；督促离退休干部政治待遇和生活待遇的落实；检查、督促、指导离退休干部的政治建设、思想建设和党组织建设；组织指导离退休干部学习活动阵地建设，开展文体健身活动；</w:t>
      </w:r>
      <w:r>
        <w:rPr>
          <w:rFonts w:hint="eastAsia" w:ascii="仿宋" w:hAnsi="仿宋" w:eastAsia="仿宋" w:cs="仿宋"/>
          <w:sz w:val="28"/>
          <w:szCs w:val="28"/>
          <w:highlight w:val="none"/>
          <w:lang w:val="en-US" w:eastAsia="zh-CN"/>
        </w:rPr>
        <w:t>指导全县离退休干部工作机构的自身建设</w:t>
      </w:r>
      <w:r>
        <w:rPr>
          <w:rFonts w:hint="eastAsia" w:ascii="仿宋" w:hAnsi="仿宋" w:eastAsia="仿宋" w:cs="仿宋"/>
          <w:strike w:val="0"/>
          <w:dstrike w:val="0"/>
          <w:sz w:val="28"/>
          <w:szCs w:val="28"/>
          <w:highlight w:val="none"/>
          <w:lang w:val="en-US" w:eastAsia="zh-CN"/>
        </w:rPr>
        <w:t>；负责抓好离退休干部学习教育工作，办好各级老年大学。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临猗县老干部活动中心（临猗县老年大学）主要负责：</w:t>
      </w:r>
      <w:r>
        <w:rPr>
          <w:rFonts w:hint="eastAsia" w:ascii="仿宋" w:hAnsi="仿宋" w:eastAsia="仿宋" w:cs="仿宋"/>
          <w:strike w:val="0"/>
          <w:dstrike w:val="0"/>
          <w:kern w:val="2"/>
          <w:sz w:val="28"/>
          <w:szCs w:val="28"/>
          <w:highlight w:val="none"/>
          <w:lang w:val="en-US" w:eastAsia="zh-CN" w:bidi="ar-SA"/>
        </w:rPr>
        <w:t>贯彻落实党中央、省委、市委关于老干部工作和老年教育工作的方针政策和县委决策部署，在履行职责过程中坚持和加强党对老干部工作和老年教育工作的集中统一领导。</w:t>
      </w:r>
    </w:p>
    <w:p>
      <w:pPr>
        <w:pStyle w:val="2"/>
        <w:keepNext w:val="0"/>
        <w:keepLines w:val="0"/>
        <w:pageBreakBefore w:val="0"/>
        <w:widowControl w:val="0"/>
        <w:numPr>
          <w:ilvl w:val="0"/>
          <w:numId w:val="0"/>
        </w:numPr>
        <w:kinsoku/>
        <w:wordWrap/>
        <w:overflowPunct/>
        <w:topLinePunct w:val="0"/>
        <w:autoSpaceDE/>
        <w:autoSpaceDN/>
        <w:bidi w:val="0"/>
        <w:spacing w:line="240" w:lineRule="auto"/>
        <w:ind w:firstLine="562" w:firstLineChars="200"/>
        <w:textAlignment w:val="auto"/>
        <w:rPr>
          <w:rFonts w:hint="default"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1.部门人员情况和组织机构设置</w:t>
      </w:r>
    </w:p>
    <w:p>
      <w:pPr>
        <w:pStyle w:val="2"/>
        <w:ind w:firstLine="560"/>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临猗县老干部局内设机构：办公室、组织宣传股、落实待遇股；核定行政编制6名，工勤2名，实有在编人员8人。</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 xml:space="preserve">临猗县老干部局下属事业单位：临猗县老干部活动中心（临猗县老年大学），核定事业编制5名，实有在编人员4人。 </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562" w:firstLineChars="200"/>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2.部门的主要职责</w:t>
      </w:r>
    </w:p>
    <w:p>
      <w:pPr>
        <w:pStyle w:val="2"/>
        <w:keepNext w:val="0"/>
        <w:keepLines w:val="0"/>
        <w:pageBreakBefore w:val="0"/>
        <w:widowControl w:val="0"/>
        <w:numPr>
          <w:ilvl w:val="0"/>
          <w:numId w:val="0"/>
        </w:numPr>
        <w:kinsoku/>
        <w:wordWrap/>
        <w:overflowPunct/>
        <w:topLinePunct w:val="0"/>
        <w:autoSpaceDE/>
        <w:autoSpaceDN/>
        <w:bidi w:val="0"/>
        <w:spacing w:line="580" w:lineRule="exact"/>
        <w:ind w:firstLine="560" w:firstLineChars="200"/>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1）</w:t>
      </w:r>
      <w:r>
        <w:rPr>
          <w:rFonts w:hint="eastAsia" w:ascii="仿宋" w:hAnsi="仿宋" w:eastAsia="仿宋" w:cs="仿宋"/>
          <w:strike w:val="0"/>
          <w:dstrike w:val="0"/>
          <w:sz w:val="28"/>
          <w:szCs w:val="28"/>
          <w:highlight w:val="none"/>
          <w:lang w:val="en-US" w:eastAsia="zh-CN"/>
        </w:rPr>
        <w:t>贯彻党中央、国务院、省委、省政府、市委、市政府关于离退休干部工作的方针政策；开展调查研究，为县委、县政府和有关部门制定离退休干部工作政策规定提供情况和依据。</w:t>
      </w:r>
    </w:p>
    <w:p>
      <w:pPr>
        <w:pStyle w:val="2"/>
        <w:keepNext w:val="0"/>
        <w:keepLines w:val="0"/>
        <w:pageBreakBefore w:val="0"/>
        <w:widowControl w:val="0"/>
        <w:numPr>
          <w:ilvl w:val="0"/>
          <w:numId w:val="0"/>
        </w:numPr>
        <w:kinsoku/>
        <w:wordWrap/>
        <w:overflowPunct/>
        <w:topLinePunct w:val="0"/>
        <w:autoSpaceDE/>
        <w:autoSpaceDN/>
        <w:bidi w:val="0"/>
        <w:spacing w:line="580" w:lineRule="exact"/>
        <w:ind w:firstLine="560"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2）</w:t>
      </w:r>
      <w:r>
        <w:rPr>
          <w:rFonts w:hint="eastAsia" w:ascii="仿宋" w:hAnsi="仿宋" w:eastAsia="仿宋" w:cs="仿宋"/>
          <w:strike w:val="0"/>
          <w:dstrike w:val="0"/>
          <w:sz w:val="28"/>
          <w:szCs w:val="28"/>
          <w:highlight w:val="none"/>
          <w:lang w:val="en-US" w:eastAsia="zh-CN"/>
        </w:rPr>
        <w:t>负责对全县离退休干部工作的监督、检查、指导和协调；督促离退休干部政治待遇和生活待遇的落实。</w:t>
      </w:r>
    </w:p>
    <w:p>
      <w:pPr>
        <w:pStyle w:val="2"/>
        <w:numPr>
          <w:ilvl w:val="0"/>
          <w:numId w:val="0"/>
        </w:numPr>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3）</w:t>
      </w:r>
      <w:r>
        <w:rPr>
          <w:rFonts w:hint="eastAsia" w:ascii="仿宋" w:hAnsi="仿宋" w:eastAsia="仿宋" w:cs="仿宋"/>
          <w:strike w:val="0"/>
          <w:dstrike w:val="0"/>
          <w:sz w:val="28"/>
          <w:szCs w:val="28"/>
          <w:highlight w:val="none"/>
          <w:lang w:val="en-US" w:eastAsia="zh-CN"/>
        </w:rPr>
        <w:t>检查、督促、指导离退休干部的政治建设、思想建设和党组织建设，加强离退休干部的学习教育，做好思想政治工作；组织指导离退休干部为党和人民事业增添正能量。</w:t>
      </w:r>
    </w:p>
    <w:p>
      <w:pPr>
        <w:pStyle w:val="2"/>
        <w:numPr>
          <w:ilvl w:val="0"/>
          <w:numId w:val="0"/>
        </w:numPr>
        <w:ind w:firstLine="560" w:firstLineChars="200"/>
        <w:rPr>
          <w:rFonts w:hint="eastAsia" w:ascii="仿宋" w:hAnsi="仿宋" w:eastAsia="仿宋" w:cs="仿宋"/>
          <w:strike w:val="0"/>
          <w:dstrike w:val="0"/>
          <w:sz w:val="28"/>
          <w:szCs w:val="28"/>
          <w:highlight w:val="none"/>
          <w:lang w:val="en-US"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4）</w:t>
      </w:r>
      <w:r>
        <w:rPr>
          <w:rFonts w:hint="eastAsia" w:ascii="仿宋" w:hAnsi="仿宋" w:eastAsia="仿宋" w:cs="仿宋"/>
          <w:strike w:val="0"/>
          <w:dstrike w:val="0"/>
          <w:sz w:val="28"/>
          <w:szCs w:val="28"/>
          <w:highlight w:val="none"/>
          <w:lang w:val="en-US" w:eastAsia="zh-CN"/>
        </w:rPr>
        <w:t>负责组织指导离退休干部学习活动阵地建设，开展文体健身活动。</w:t>
      </w:r>
    </w:p>
    <w:p>
      <w:pPr>
        <w:pStyle w:val="2"/>
        <w:numPr>
          <w:ilvl w:val="0"/>
          <w:numId w:val="0"/>
        </w:numPr>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5）指导全县离退休干部工作机构的自身建设</w:t>
      </w:r>
      <w:r>
        <w:rPr>
          <w:rFonts w:hint="eastAsia" w:ascii="仿宋" w:hAnsi="仿宋" w:eastAsia="仿宋" w:cs="仿宋"/>
          <w:strike w:val="0"/>
          <w:dstrike w:val="0"/>
          <w:sz w:val="28"/>
          <w:szCs w:val="28"/>
          <w:highlight w:val="none"/>
          <w:lang w:val="en-US" w:eastAsia="zh-CN"/>
        </w:rPr>
        <w:t>。</w:t>
      </w:r>
    </w:p>
    <w:p>
      <w:pPr>
        <w:pStyle w:val="2"/>
        <w:numPr>
          <w:ilvl w:val="0"/>
          <w:numId w:val="0"/>
        </w:numPr>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6）</w:t>
      </w:r>
      <w:r>
        <w:rPr>
          <w:rFonts w:hint="eastAsia" w:ascii="仿宋" w:hAnsi="仿宋" w:eastAsia="仿宋" w:cs="仿宋"/>
          <w:strike w:val="0"/>
          <w:dstrike w:val="0"/>
          <w:sz w:val="28"/>
          <w:szCs w:val="28"/>
          <w:highlight w:val="none"/>
          <w:lang w:val="en-US" w:eastAsia="zh-CN"/>
        </w:rPr>
        <w:t>负责抓好离退休干部学习教育工作，办好各级老年大学。</w:t>
      </w:r>
    </w:p>
    <w:p>
      <w:pPr>
        <w:pStyle w:val="2"/>
        <w:numPr>
          <w:ilvl w:val="0"/>
          <w:numId w:val="0"/>
        </w:numPr>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7）</w:t>
      </w:r>
      <w:r>
        <w:rPr>
          <w:rFonts w:hint="eastAsia" w:ascii="仿宋" w:hAnsi="仿宋" w:eastAsia="仿宋" w:cs="仿宋"/>
          <w:strike w:val="0"/>
          <w:dstrike w:val="0"/>
          <w:sz w:val="28"/>
          <w:szCs w:val="28"/>
          <w:highlight w:val="none"/>
          <w:lang w:val="en-US" w:eastAsia="zh-CN"/>
        </w:rPr>
        <w:t>完成县委交办的其他任务</w:t>
      </w:r>
      <w:r>
        <w:rPr>
          <w:rFonts w:hint="eastAsia" w:ascii="仿宋" w:hAnsi="仿宋" w:eastAsia="仿宋" w:cs="仿宋"/>
          <w:sz w:val="28"/>
          <w:szCs w:val="28"/>
          <w:highlight w:val="none"/>
          <w:lang w:val="en-US" w:eastAsia="zh-CN"/>
        </w:rPr>
        <w:t>。</w:t>
      </w:r>
    </w:p>
    <w:p>
      <w:pPr>
        <w:keepNext w:val="0"/>
        <w:keepLines w:val="0"/>
        <w:pageBreakBefore w:val="0"/>
        <w:widowControl w:val="0"/>
        <w:kinsoku/>
        <w:wordWrap/>
        <w:overflowPunct/>
        <w:topLinePunct w:val="0"/>
        <w:autoSpaceDE/>
        <w:autoSpaceDN/>
        <w:bidi w:val="0"/>
        <w:spacing w:line="240" w:lineRule="auto"/>
        <w:ind w:firstLine="562" w:firstLineChars="200"/>
        <w:textAlignment w:val="auto"/>
        <w:outlineLvl w:val="1"/>
        <w:rPr>
          <w:rFonts w:hint="eastAsia" w:ascii="仿宋_GB2312" w:hAnsi="Times New Roman" w:eastAsia="仿宋_GB2312" w:cs="Times New Roman"/>
          <w:b/>
          <w:bCs/>
          <w:kern w:val="2"/>
          <w:sz w:val="28"/>
          <w:szCs w:val="28"/>
          <w:highlight w:val="none"/>
          <w:lang w:val="en-US" w:eastAsia="zh-CN" w:bidi="ar-SA"/>
        </w:rPr>
      </w:pPr>
      <w:bookmarkStart w:id="15" w:name="_Toc13485"/>
      <w:r>
        <w:rPr>
          <w:rFonts w:hint="eastAsia" w:ascii="仿宋_GB2312" w:hAnsi="Times New Roman" w:eastAsia="仿宋_GB2312" w:cs="Times New Roman"/>
          <w:b/>
          <w:bCs/>
          <w:kern w:val="2"/>
          <w:sz w:val="28"/>
          <w:szCs w:val="28"/>
          <w:highlight w:val="none"/>
          <w:lang w:val="en-US" w:eastAsia="zh-CN" w:bidi="ar-SA"/>
        </w:rPr>
        <w:t>（二）部门预算批复及整体支出情况</w:t>
      </w:r>
      <w:bookmarkEnd w:id="15"/>
    </w:p>
    <w:p>
      <w:pPr>
        <w:keepNext w:val="0"/>
        <w:keepLines w:val="0"/>
        <w:pageBreakBefore w:val="0"/>
        <w:widowControl w:val="0"/>
        <w:kinsoku/>
        <w:wordWrap/>
        <w:overflowPunct/>
        <w:topLinePunct w:val="0"/>
        <w:autoSpaceDE/>
        <w:autoSpaceDN/>
        <w:bidi w:val="0"/>
        <w:spacing w:line="240" w:lineRule="auto"/>
        <w:ind w:firstLine="562" w:firstLineChars="200"/>
        <w:textAlignment w:val="auto"/>
        <w:rPr>
          <w:rFonts w:hint="eastAsia" w:ascii="仿宋_GB2312" w:hAnsi="Times New Roman" w:eastAsia="仿宋_GB2312" w:cs="Times New Roman"/>
          <w:b/>
          <w:bCs/>
          <w:kern w:val="2"/>
          <w:sz w:val="28"/>
          <w:szCs w:val="28"/>
          <w:highlight w:val="none"/>
          <w:lang w:val="en-US" w:eastAsia="zh-CN" w:bidi="ar-SA"/>
        </w:rPr>
      </w:pPr>
      <w:r>
        <w:rPr>
          <w:rFonts w:hint="eastAsia" w:ascii="仿宋_GB2312" w:hAnsi="Times New Roman" w:eastAsia="仿宋_GB2312" w:cs="Times New Roman"/>
          <w:b/>
          <w:bCs/>
          <w:kern w:val="2"/>
          <w:sz w:val="28"/>
          <w:szCs w:val="28"/>
          <w:highlight w:val="none"/>
          <w:lang w:val="en-US" w:eastAsia="zh-CN" w:bidi="ar-SA"/>
        </w:rPr>
        <w:t>1.预算批复情况</w:t>
      </w:r>
    </w:p>
    <w:p>
      <w:pPr>
        <w:pStyle w:val="2"/>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cs="Times New Roman"/>
          <w:b w:val="0"/>
          <w:bCs w:val="0"/>
          <w:kern w:val="2"/>
          <w:sz w:val="28"/>
          <w:szCs w:val="28"/>
          <w:highlight w:val="none"/>
          <w:lang w:val="en-US" w:eastAsia="zh-CN" w:bidi="ar-SA"/>
        </w:rPr>
      </w:pPr>
      <w:r>
        <w:rPr>
          <w:rFonts w:hint="eastAsia" w:ascii="仿宋" w:hAnsi="仿宋" w:eastAsia="仿宋" w:cs="仿宋"/>
          <w:b w:val="0"/>
          <w:bCs w:val="0"/>
          <w:color w:val="000000"/>
          <w:kern w:val="0"/>
          <w:sz w:val="28"/>
          <w:szCs w:val="28"/>
          <w:highlight w:val="none"/>
          <w:shd w:val="clear" w:color="auto" w:fill="FFFFFF"/>
          <w:lang w:val="en-US" w:eastAsia="zh-CN"/>
        </w:rPr>
        <w:t>2020年4月28日临猗县财政局以临财预指〔2020〕001号文件批复临猗县老干部局2020年部门预算，总计1,977,490.00元。其中：基本支出1,139,490.00元，项目支出838,000.00元</w:t>
      </w:r>
      <w:r>
        <w:rPr>
          <w:rFonts w:hint="eastAsia" w:cs="Times New Roman"/>
          <w:b w:val="0"/>
          <w:bCs w:val="0"/>
          <w:kern w:val="2"/>
          <w:sz w:val="28"/>
          <w:szCs w:val="28"/>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default" w:ascii="仿宋_GB2312" w:hAnsi="Times New Roman" w:eastAsia="仿宋_GB2312"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2</w:t>
      </w:r>
      <w:r>
        <w:rPr>
          <w:rFonts w:hint="default" w:ascii="仿宋_GB2312" w:hAnsi="Times New Roman" w:eastAsia="仿宋_GB2312" w:cs="Times New Roman"/>
          <w:b/>
          <w:bCs/>
          <w:kern w:val="2"/>
          <w:sz w:val="28"/>
          <w:szCs w:val="28"/>
          <w:highlight w:val="none"/>
          <w:lang w:val="en-US" w:eastAsia="zh-CN" w:bidi="ar-SA"/>
        </w:rPr>
        <w:t>.</w:t>
      </w:r>
      <w:r>
        <w:rPr>
          <w:rFonts w:hint="eastAsia" w:ascii="仿宋" w:eastAsia="仿宋"/>
          <w:b/>
          <w:color w:val="000000"/>
          <w:kern w:val="0"/>
          <w:sz w:val="28"/>
          <w:highlight w:val="none"/>
          <w:shd w:val="clear" w:color="auto" w:fill="FFFFFF"/>
        </w:rPr>
        <w:t>预算资金下达情况</w:t>
      </w:r>
    </w:p>
    <w:p>
      <w:pPr>
        <w:widowControl/>
        <w:numPr>
          <w:ilvl w:val="0"/>
          <w:numId w:val="0"/>
        </w:numPr>
        <w:snapToGrid w:val="0"/>
        <w:spacing w:line="578" w:lineRule="exact"/>
        <w:ind w:firstLine="560" w:firstLineChars="200"/>
        <w:rPr>
          <w:rFonts w:hint="eastAsia" w:ascii="仿宋" w:hAnsi="仿宋" w:eastAsia="仿宋" w:cs="仿宋"/>
          <w:color w:val="000000"/>
          <w:kern w:val="0"/>
          <w:sz w:val="28"/>
          <w:szCs w:val="28"/>
          <w:highlight w:val="none"/>
          <w:shd w:val="clear" w:color="auto" w:fill="FFFFFF"/>
          <w:lang w:val="en-US" w:eastAsia="zh-CN"/>
        </w:rPr>
      </w:pPr>
      <w:r>
        <w:rPr>
          <w:rFonts w:hint="eastAsia" w:ascii="仿宋" w:hAnsi="仿宋" w:eastAsia="仿宋" w:cs="仿宋"/>
          <w:color w:val="000000"/>
          <w:kern w:val="0"/>
          <w:sz w:val="28"/>
          <w:szCs w:val="28"/>
          <w:highlight w:val="none"/>
          <w:shd w:val="clear" w:color="auto" w:fill="FFFFFF"/>
          <w:lang w:val="en-US" w:eastAsia="zh-CN"/>
        </w:rPr>
        <w:t>临猗县老干部局2020年共取得收入2,602,076.83元，其中：基本支出1,276,062.43元，项目支出1,326,014.40元。</w:t>
      </w:r>
    </w:p>
    <w:p>
      <w:pPr>
        <w:widowControl/>
        <w:numPr>
          <w:ilvl w:val="0"/>
          <w:numId w:val="0"/>
        </w:numPr>
        <w:snapToGrid w:val="0"/>
        <w:spacing w:line="578" w:lineRule="exact"/>
        <w:ind w:firstLine="560" w:firstLineChars="200"/>
        <w:rPr>
          <w:rFonts w:hint="default" w:ascii="仿宋" w:hAnsi="仿宋" w:eastAsia="仿宋" w:cs="仿宋"/>
          <w:color w:val="000000"/>
          <w:kern w:val="0"/>
          <w:sz w:val="28"/>
          <w:szCs w:val="28"/>
          <w:highlight w:val="none"/>
          <w:shd w:val="clear" w:color="auto" w:fill="FFFFFF"/>
          <w:lang w:val="en-US" w:eastAsia="zh-CN"/>
        </w:rPr>
      </w:pPr>
      <w:r>
        <w:rPr>
          <w:rFonts w:hint="eastAsia" w:ascii="仿宋" w:hAnsi="仿宋" w:eastAsia="仿宋" w:cs="仿宋"/>
          <w:color w:val="000000"/>
          <w:kern w:val="0"/>
          <w:sz w:val="28"/>
          <w:szCs w:val="28"/>
          <w:highlight w:val="none"/>
          <w:shd w:val="clear" w:color="auto" w:fill="FFFFFF"/>
          <w:lang w:val="en-US" w:eastAsia="zh-CN"/>
        </w:rPr>
        <w:t>临猗县老干部局2020年年初预算资金1,977,490.00元，实际下达资金1,977,490.00元。</w:t>
      </w:r>
    </w:p>
    <w:p>
      <w:pPr>
        <w:widowControl/>
        <w:numPr>
          <w:ilvl w:val="0"/>
          <w:numId w:val="0"/>
        </w:numPr>
        <w:snapToGrid w:val="0"/>
        <w:spacing w:line="578" w:lineRule="exact"/>
        <w:ind w:firstLine="560" w:firstLineChars="200"/>
        <w:rPr>
          <w:rFonts w:hint="eastAsia" w:ascii="仿宋" w:hAnsi="仿宋" w:eastAsia="仿宋" w:cs="仿宋"/>
          <w:color w:val="000000"/>
          <w:kern w:val="0"/>
          <w:sz w:val="28"/>
          <w:szCs w:val="28"/>
          <w:highlight w:val="none"/>
          <w:shd w:val="clear" w:color="auto" w:fill="FFFFFF"/>
          <w:lang w:val="en-US" w:eastAsia="zh-CN"/>
        </w:rPr>
      </w:pPr>
      <w:r>
        <w:rPr>
          <w:rFonts w:hint="eastAsia" w:ascii="仿宋" w:hAnsi="仿宋" w:eastAsia="仿宋" w:cs="仿宋"/>
          <w:color w:val="000000"/>
          <w:kern w:val="0"/>
          <w:sz w:val="28"/>
          <w:szCs w:val="28"/>
          <w:highlight w:val="none"/>
          <w:shd w:val="clear" w:color="auto" w:fill="FFFFFF"/>
          <w:lang w:val="en-US" w:eastAsia="zh-CN"/>
        </w:rPr>
        <w:t>临猗县老干部局2020年追加预算资金624,586.83元已全部下达。收入明细见表1-1。</w:t>
      </w:r>
    </w:p>
    <w:p>
      <w:pPr>
        <w:pStyle w:val="2"/>
        <w:ind w:firstLine="562"/>
        <w:jc w:val="center"/>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表1-1：收入明细表</w:t>
      </w:r>
    </w:p>
    <w:p>
      <w:pPr>
        <w:pStyle w:val="2"/>
        <w:ind w:firstLine="562"/>
        <w:jc w:val="right"/>
        <w:rPr>
          <w:rFonts w:hint="default"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单位：元</w:t>
      </w:r>
    </w:p>
    <w:tbl>
      <w:tblPr>
        <w:tblStyle w:val="7"/>
        <w:tblW w:w="9489" w:type="dxa"/>
        <w:tblInd w:w="-351" w:type="dxa"/>
        <w:shd w:val="clear" w:color="auto" w:fill="auto"/>
        <w:tblLayout w:type="fixed"/>
        <w:tblCellMar>
          <w:top w:w="0" w:type="dxa"/>
          <w:left w:w="108" w:type="dxa"/>
          <w:bottom w:w="0" w:type="dxa"/>
          <w:right w:w="108" w:type="dxa"/>
        </w:tblCellMar>
      </w:tblPr>
      <w:tblGrid>
        <w:gridCol w:w="1063"/>
        <w:gridCol w:w="1055"/>
        <w:gridCol w:w="2228"/>
        <w:gridCol w:w="1492"/>
        <w:gridCol w:w="1482"/>
        <w:gridCol w:w="2169"/>
      </w:tblGrid>
      <w:tr>
        <w:tblPrEx>
          <w:shd w:val="clear" w:color="auto" w:fill="auto"/>
          <w:tblCellMar>
            <w:top w:w="0" w:type="dxa"/>
            <w:left w:w="108" w:type="dxa"/>
            <w:bottom w:w="0" w:type="dxa"/>
            <w:right w:w="108" w:type="dxa"/>
          </w:tblCellMar>
        </w:tblPrEx>
        <w:trPr>
          <w:trHeight w:val="249" w:hRule="atLeast"/>
          <w:tblHeader/>
        </w:trPr>
        <w:tc>
          <w:tcPr>
            <w:tcW w:w="1063"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资金性质</w:t>
            </w:r>
          </w:p>
        </w:tc>
        <w:tc>
          <w:tcPr>
            <w:tcW w:w="105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类型</w:t>
            </w:r>
          </w:p>
        </w:tc>
        <w:tc>
          <w:tcPr>
            <w:tcW w:w="222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项目名称</w:t>
            </w:r>
          </w:p>
        </w:tc>
        <w:tc>
          <w:tcPr>
            <w:tcW w:w="1492"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bottom"/>
          </w:tcPr>
          <w:p>
            <w:pPr>
              <w:keepNext w:val="0"/>
              <w:keepLines w:val="0"/>
              <w:widowControl/>
              <w:suppressLineNumbers w:val="0"/>
              <w:jc w:val="center"/>
              <w:textAlignment w:val="bottom"/>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预算资金</w:t>
            </w:r>
          </w:p>
        </w:tc>
        <w:tc>
          <w:tcPr>
            <w:tcW w:w="1482"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bottom"/>
          </w:tcPr>
          <w:p>
            <w:pPr>
              <w:keepNext w:val="0"/>
              <w:keepLines w:val="0"/>
              <w:widowControl/>
              <w:suppressLineNumbers w:val="0"/>
              <w:jc w:val="center"/>
              <w:textAlignment w:val="bottom"/>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下达资金</w:t>
            </w:r>
          </w:p>
        </w:tc>
        <w:tc>
          <w:tcPr>
            <w:tcW w:w="2169"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下达文号</w:t>
            </w:r>
          </w:p>
        </w:tc>
      </w:tr>
      <w:tr>
        <w:tblPrEx>
          <w:tblCellMar>
            <w:top w:w="0" w:type="dxa"/>
            <w:left w:w="108" w:type="dxa"/>
            <w:bottom w:w="0" w:type="dxa"/>
            <w:right w:w="108" w:type="dxa"/>
          </w:tblCellMar>
        </w:tblPrEx>
        <w:trPr>
          <w:trHeight w:val="263" w:hRule="atLeast"/>
        </w:trPr>
        <w:tc>
          <w:tcPr>
            <w:tcW w:w="106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预算内</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基本支出</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人员经费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1,018,354.00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1,018,354.00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97"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公用经费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121,136.00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121,136.00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97"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小计</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1,139,490.00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1,139,490.00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仿宋" w:hAnsi="仿宋" w:eastAsia="仿宋" w:cs="仿宋"/>
                <w:i w:val="0"/>
                <w:iCs w:val="0"/>
                <w:color w:val="000000"/>
                <w:sz w:val="20"/>
                <w:szCs w:val="20"/>
                <w:highlight w:val="none"/>
                <w:u w:val="none"/>
                <w:lang w:val="en-US" w:eastAsia="zh-CN"/>
              </w:rPr>
            </w:pPr>
          </w:p>
        </w:tc>
      </w:tr>
      <w:tr>
        <w:tblPrEx>
          <w:tblCellMar>
            <w:top w:w="0" w:type="dxa"/>
            <w:left w:w="108" w:type="dxa"/>
            <w:bottom w:w="0" w:type="dxa"/>
            <w:right w:w="108" w:type="dxa"/>
          </w:tblCellMar>
        </w:tblPrEx>
        <w:trPr>
          <w:trHeight w:val="297"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项目支出</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老干部活动中心经费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15,000.00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15,000.00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97"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老年音乐舞蹈协会经费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5,000.00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97"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老干部管理业务费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45,000.00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45,000.00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97"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老年大学经费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13,000.00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97"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老年体协经费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5,000.00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63"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老年书画协会经费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5,000.00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97"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老干部帮扶基金</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30,000.00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97"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老干部特需费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700,000.00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700,000.00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97"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老干部支部活动经费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20,000.00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48"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小计</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838,000.00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838,000.00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0"/>
                <w:szCs w:val="20"/>
                <w:highlight w:val="none"/>
                <w:u w:val="none"/>
              </w:rPr>
            </w:pPr>
          </w:p>
        </w:tc>
      </w:tr>
      <w:tr>
        <w:tblPrEx>
          <w:tblCellMar>
            <w:top w:w="0" w:type="dxa"/>
            <w:left w:w="108" w:type="dxa"/>
            <w:bottom w:w="0" w:type="dxa"/>
            <w:right w:w="108" w:type="dxa"/>
          </w:tblCellMar>
        </w:tblPrEx>
        <w:trPr>
          <w:trHeight w:val="248"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预算内资金-合计</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1,977,490.00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1,976,104.00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0"/>
                <w:szCs w:val="20"/>
                <w:highlight w:val="none"/>
                <w:u w:val="none"/>
              </w:rPr>
            </w:pPr>
          </w:p>
        </w:tc>
      </w:tr>
      <w:tr>
        <w:tblPrEx>
          <w:tblCellMar>
            <w:top w:w="0" w:type="dxa"/>
            <w:left w:w="108" w:type="dxa"/>
            <w:bottom w:w="0" w:type="dxa"/>
            <w:right w:w="108" w:type="dxa"/>
          </w:tblCellMar>
        </w:tblPrEx>
        <w:trPr>
          <w:trHeight w:val="248" w:hRule="atLeast"/>
        </w:trPr>
        <w:tc>
          <w:tcPr>
            <w:tcW w:w="106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追加预算</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基本支出</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人员经费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136,572.43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临财预指[2020]190号</w:t>
            </w:r>
          </w:p>
        </w:tc>
      </w:tr>
      <w:tr>
        <w:tblPrEx>
          <w:tblCellMar>
            <w:top w:w="0" w:type="dxa"/>
            <w:left w:w="108" w:type="dxa"/>
            <w:bottom w:w="0" w:type="dxa"/>
            <w:right w:w="108" w:type="dxa"/>
          </w:tblCellMar>
        </w:tblPrEx>
        <w:trPr>
          <w:trHeight w:val="248"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项目支出</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2019年度目标责任考核奖励资金</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80,000.00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临财预指[2020]173号</w:t>
            </w:r>
          </w:p>
        </w:tc>
      </w:tr>
      <w:tr>
        <w:tblPrEx>
          <w:tblCellMar>
            <w:top w:w="0" w:type="dxa"/>
            <w:left w:w="108" w:type="dxa"/>
            <w:bottom w:w="0" w:type="dxa"/>
            <w:right w:w="108" w:type="dxa"/>
          </w:tblCellMar>
        </w:tblPrEx>
        <w:trPr>
          <w:trHeight w:val="248"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城镇职工独生子女家庭退休一次性奖励</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19,634.40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临财预指[2020]227号</w:t>
            </w:r>
          </w:p>
        </w:tc>
      </w:tr>
      <w:tr>
        <w:tblPrEx>
          <w:tblCellMar>
            <w:top w:w="0" w:type="dxa"/>
            <w:left w:w="108" w:type="dxa"/>
            <w:bottom w:w="0" w:type="dxa"/>
            <w:right w:w="108" w:type="dxa"/>
          </w:tblCellMar>
        </w:tblPrEx>
        <w:trPr>
          <w:trHeight w:val="248"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安家抚恤补助资金</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388,380.00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临财预指[2020]190号</w:t>
            </w:r>
          </w:p>
        </w:tc>
      </w:tr>
      <w:tr>
        <w:tblPrEx>
          <w:tblCellMar>
            <w:top w:w="0" w:type="dxa"/>
            <w:left w:w="108" w:type="dxa"/>
            <w:bottom w:w="0" w:type="dxa"/>
            <w:right w:w="108" w:type="dxa"/>
          </w:tblCellMar>
        </w:tblPrEx>
        <w:trPr>
          <w:trHeight w:val="248"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小计</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488,014.40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0"/>
                <w:szCs w:val="20"/>
                <w:highlight w:val="none"/>
                <w:u w:val="none"/>
              </w:rPr>
            </w:pPr>
          </w:p>
        </w:tc>
      </w:tr>
      <w:tr>
        <w:tblPrEx>
          <w:tblCellMar>
            <w:top w:w="0" w:type="dxa"/>
            <w:left w:w="108" w:type="dxa"/>
            <w:bottom w:w="0" w:type="dxa"/>
            <w:right w:w="108" w:type="dxa"/>
          </w:tblCellMar>
        </w:tblPrEx>
        <w:trPr>
          <w:trHeight w:val="248"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追加预算资金-合计</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624,586.83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0"/>
                <w:szCs w:val="20"/>
                <w:highlight w:val="none"/>
                <w:u w:val="none"/>
              </w:rPr>
            </w:pPr>
          </w:p>
        </w:tc>
      </w:tr>
      <w:tr>
        <w:tblPrEx>
          <w:tblCellMar>
            <w:top w:w="0" w:type="dxa"/>
            <w:left w:w="108" w:type="dxa"/>
            <w:bottom w:w="0" w:type="dxa"/>
            <w:right w:w="108" w:type="dxa"/>
          </w:tblCellMar>
        </w:tblPrEx>
        <w:trPr>
          <w:trHeight w:val="248" w:hRule="atLeast"/>
        </w:trPr>
        <w:tc>
          <w:tcPr>
            <w:tcW w:w="4346"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合计</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1,977,490.00</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2,602,076.83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0"/>
                <w:szCs w:val="20"/>
                <w:highlight w:val="none"/>
                <w:u w:val="none"/>
              </w:rPr>
            </w:pPr>
          </w:p>
        </w:tc>
      </w:tr>
    </w:tbl>
    <w:p>
      <w:pPr>
        <w:pStyle w:val="2"/>
        <w:ind w:firstLine="562" w:firstLineChars="200"/>
        <w:rPr>
          <w:rFonts w:hint="eastAsia"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3.整体收支及结转和结余情况</w:t>
      </w:r>
    </w:p>
    <w:p>
      <w:pPr>
        <w:widowControl/>
        <w:snapToGrid w:val="0"/>
        <w:spacing w:line="578" w:lineRule="exact"/>
        <w:ind w:firstLine="560" w:firstLineChars="200"/>
        <w:rPr>
          <w:rFonts w:hint="eastAsia" w:ascii="仿宋" w:hAnsi="仿宋" w:eastAsia="仿宋" w:cs="仿宋"/>
          <w:color w:val="000000"/>
          <w:kern w:val="0"/>
          <w:sz w:val="28"/>
          <w:szCs w:val="28"/>
          <w:highlight w:val="none"/>
          <w:shd w:val="clear" w:color="auto" w:fill="FFFFFF"/>
          <w:lang w:val="en-US" w:eastAsia="zh-CN"/>
        </w:rPr>
      </w:pPr>
      <w:bookmarkStart w:id="16" w:name="_Toc32021"/>
      <w:r>
        <w:rPr>
          <w:rFonts w:hint="eastAsia" w:ascii="仿宋" w:hAnsi="仿宋" w:eastAsia="仿宋" w:cs="仿宋"/>
          <w:color w:val="000000"/>
          <w:kern w:val="0"/>
          <w:sz w:val="28"/>
          <w:szCs w:val="28"/>
          <w:highlight w:val="none"/>
          <w:shd w:val="clear" w:color="auto" w:fill="FFFFFF"/>
          <w:lang w:val="en-US" w:eastAsia="zh-CN"/>
        </w:rPr>
        <w:t>临猗县老干部局2020年共支出2,602,076.83元，其中：基本支出1,276,062.43元，项目支出1,326,014.40元。整体</w:t>
      </w:r>
      <w:r>
        <w:rPr>
          <w:rFonts w:hint="eastAsia" w:ascii="仿宋" w:hAnsi="仿宋" w:eastAsia="仿宋" w:cs="仿宋"/>
          <w:color w:val="000000"/>
          <w:kern w:val="0"/>
          <w:sz w:val="28"/>
          <w:szCs w:val="28"/>
          <w:highlight w:val="none"/>
          <w:shd w:val="clear" w:color="auto" w:fill="FFFFFF"/>
        </w:rPr>
        <w:t>支出</w:t>
      </w:r>
      <w:r>
        <w:rPr>
          <w:rFonts w:hint="eastAsia" w:ascii="仿宋" w:hAnsi="仿宋" w:eastAsia="仿宋" w:cs="仿宋"/>
          <w:color w:val="000000"/>
          <w:kern w:val="0"/>
          <w:sz w:val="28"/>
          <w:szCs w:val="28"/>
          <w:highlight w:val="none"/>
          <w:shd w:val="clear" w:color="auto" w:fill="FFFFFF"/>
          <w:lang w:val="en-US" w:eastAsia="zh-CN"/>
        </w:rPr>
        <w:t>明细详见表1-2。</w:t>
      </w:r>
    </w:p>
    <w:p>
      <w:pPr>
        <w:pStyle w:val="2"/>
        <w:ind w:firstLine="562"/>
        <w:jc w:val="center"/>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表1-2：整体支出明细表</w:t>
      </w:r>
    </w:p>
    <w:p>
      <w:pPr>
        <w:pStyle w:val="2"/>
        <w:ind w:firstLine="562"/>
        <w:jc w:val="right"/>
        <w:rPr>
          <w:rFonts w:hint="default"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单位：元</w:t>
      </w:r>
    </w:p>
    <w:tbl>
      <w:tblPr>
        <w:tblStyle w:val="8"/>
        <w:tblW w:w="9222" w:type="dxa"/>
        <w:tblInd w:w="-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8"/>
        <w:gridCol w:w="1697"/>
        <w:gridCol w:w="1595"/>
        <w:gridCol w:w="1662"/>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BEBEBE" w:themeFill="background1" w:themeFillShade="BF"/>
            <w:vAlign w:val="center"/>
          </w:tcPr>
          <w:p>
            <w:pPr>
              <w:pStyle w:val="2"/>
              <w:jc w:val="center"/>
              <w:rPr>
                <w:rFonts w:hint="eastAsia" w:ascii="仿宋" w:hAnsi="仿宋" w:eastAsia="仿宋" w:cs="仿宋"/>
                <w:b/>
                <w:bCs/>
                <w:kern w:val="0"/>
                <w:sz w:val="22"/>
                <w:szCs w:val="22"/>
                <w:highlight w:val="none"/>
                <w:vertAlign w:val="baseline"/>
                <w:lang w:val="en-US" w:eastAsia="zh-CN"/>
              </w:rPr>
            </w:pPr>
            <w:r>
              <w:rPr>
                <w:rFonts w:hint="eastAsia" w:ascii="仿宋" w:hAnsi="仿宋" w:eastAsia="仿宋" w:cs="仿宋"/>
                <w:b/>
                <w:bCs/>
                <w:kern w:val="0"/>
                <w:sz w:val="22"/>
                <w:szCs w:val="22"/>
                <w:highlight w:val="none"/>
                <w:vertAlign w:val="baseline"/>
                <w:lang w:val="en-US" w:eastAsia="zh-CN"/>
              </w:rPr>
              <w:t>项目名称</w:t>
            </w:r>
          </w:p>
        </w:tc>
        <w:tc>
          <w:tcPr>
            <w:tcW w:w="1697" w:type="dxa"/>
            <w:shd w:val="clear" w:color="auto" w:fill="BEBEBE" w:themeFill="background1" w:themeFillShade="BF"/>
            <w:vAlign w:val="center"/>
          </w:tcPr>
          <w:p>
            <w:pPr>
              <w:pStyle w:val="2"/>
              <w:jc w:val="center"/>
              <w:rPr>
                <w:rFonts w:hint="eastAsia" w:ascii="仿宋" w:hAnsi="仿宋" w:eastAsia="仿宋" w:cs="仿宋"/>
                <w:b/>
                <w:bCs/>
                <w:kern w:val="0"/>
                <w:sz w:val="22"/>
                <w:szCs w:val="22"/>
                <w:highlight w:val="none"/>
                <w:vertAlign w:val="baseline"/>
                <w:lang w:val="en-US" w:eastAsia="zh-CN"/>
              </w:rPr>
            </w:pPr>
            <w:r>
              <w:rPr>
                <w:rFonts w:hint="eastAsia" w:ascii="仿宋" w:hAnsi="仿宋" w:eastAsia="仿宋" w:cs="仿宋"/>
                <w:b/>
                <w:bCs/>
                <w:kern w:val="0"/>
                <w:sz w:val="22"/>
                <w:szCs w:val="22"/>
                <w:highlight w:val="none"/>
                <w:vertAlign w:val="baseline"/>
                <w:lang w:val="en-US" w:eastAsia="zh-CN"/>
              </w:rPr>
              <w:t>下达预算金额</w:t>
            </w:r>
          </w:p>
        </w:tc>
        <w:tc>
          <w:tcPr>
            <w:tcW w:w="1595" w:type="dxa"/>
            <w:shd w:val="clear" w:color="auto" w:fill="BEBEBE" w:themeFill="background1" w:themeFillShade="BF"/>
            <w:vAlign w:val="center"/>
          </w:tcPr>
          <w:p>
            <w:pPr>
              <w:pStyle w:val="2"/>
              <w:jc w:val="center"/>
              <w:rPr>
                <w:rFonts w:hint="eastAsia" w:ascii="仿宋" w:hAnsi="仿宋" w:eastAsia="仿宋" w:cs="仿宋"/>
                <w:b/>
                <w:bCs/>
                <w:kern w:val="0"/>
                <w:sz w:val="22"/>
                <w:szCs w:val="22"/>
                <w:highlight w:val="none"/>
                <w:vertAlign w:val="baseline"/>
                <w:lang w:val="en-US" w:eastAsia="zh-CN"/>
              </w:rPr>
            </w:pPr>
            <w:r>
              <w:rPr>
                <w:rFonts w:hint="eastAsia" w:ascii="仿宋" w:hAnsi="仿宋" w:eastAsia="仿宋" w:cs="仿宋"/>
                <w:b/>
                <w:bCs/>
                <w:kern w:val="0"/>
                <w:sz w:val="22"/>
                <w:szCs w:val="22"/>
                <w:highlight w:val="none"/>
                <w:vertAlign w:val="baseline"/>
                <w:lang w:val="en-US" w:eastAsia="zh-CN"/>
              </w:rPr>
              <w:t>下达追加金额</w:t>
            </w:r>
          </w:p>
        </w:tc>
        <w:tc>
          <w:tcPr>
            <w:tcW w:w="1662" w:type="dxa"/>
            <w:shd w:val="clear" w:color="auto" w:fill="BEBEBE" w:themeFill="background1" w:themeFillShade="BF"/>
            <w:vAlign w:val="center"/>
          </w:tcPr>
          <w:p>
            <w:pPr>
              <w:pStyle w:val="2"/>
              <w:jc w:val="center"/>
              <w:rPr>
                <w:rFonts w:hint="eastAsia" w:ascii="仿宋" w:hAnsi="仿宋" w:eastAsia="仿宋" w:cs="仿宋"/>
                <w:b/>
                <w:bCs/>
                <w:kern w:val="0"/>
                <w:sz w:val="22"/>
                <w:szCs w:val="22"/>
                <w:highlight w:val="none"/>
                <w:vertAlign w:val="baseline"/>
                <w:lang w:val="en-US" w:eastAsia="zh-CN"/>
              </w:rPr>
            </w:pPr>
            <w:r>
              <w:rPr>
                <w:rFonts w:hint="eastAsia" w:ascii="仿宋" w:hAnsi="仿宋" w:eastAsia="仿宋" w:cs="仿宋"/>
                <w:b/>
                <w:bCs/>
                <w:kern w:val="0"/>
                <w:sz w:val="22"/>
                <w:szCs w:val="22"/>
                <w:highlight w:val="none"/>
                <w:vertAlign w:val="baseline"/>
                <w:lang w:val="en-US" w:eastAsia="zh-CN"/>
              </w:rPr>
              <w:t>实际支出</w:t>
            </w:r>
          </w:p>
        </w:tc>
        <w:tc>
          <w:tcPr>
            <w:tcW w:w="1140" w:type="dxa"/>
            <w:shd w:val="clear" w:color="auto" w:fill="BEBEBE" w:themeFill="background1" w:themeFillShade="BF"/>
            <w:vAlign w:val="center"/>
          </w:tcPr>
          <w:p>
            <w:pPr>
              <w:pStyle w:val="2"/>
              <w:jc w:val="center"/>
              <w:rPr>
                <w:rFonts w:hint="eastAsia" w:ascii="仿宋" w:hAnsi="仿宋" w:eastAsia="仿宋" w:cs="仿宋"/>
                <w:b/>
                <w:bCs/>
                <w:kern w:val="0"/>
                <w:sz w:val="22"/>
                <w:szCs w:val="22"/>
                <w:highlight w:val="none"/>
                <w:vertAlign w:val="baseline"/>
                <w:lang w:val="en-US" w:eastAsia="zh-CN"/>
              </w:rPr>
            </w:pPr>
            <w:r>
              <w:rPr>
                <w:rFonts w:hint="eastAsia" w:ascii="仿宋" w:hAnsi="仿宋" w:eastAsia="仿宋" w:cs="仿宋"/>
                <w:b/>
                <w:bCs/>
                <w:kern w:val="0"/>
                <w:sz w:val="22"/>
                <w:szCs w:val="22"/>
                <w:highlight w:val="none"/>
                <w:vertAlign w:val="baseline"/>
                <w:lang w:val="en-US" w:eastAsia="zh-CN"/>
              </w:rPr>
              <w:t>结余资金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一、基本支出</w:t>
            </w:r>
          </w:p>
        </w:tc>
        <w:tc>
          <w:tcPr>
            <w:tcW w:w="1697"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1,138,104.00</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137,958.43</w:t>
            </w:r>
          </w:p>
        </w:tc>
        <w:tc>
          <w:tcPr>
            <w:tcW w:w="1662"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1,276,062.43</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center"/>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1.人员经费</w:t>
            </w:r>
          </w:p>
        </w:tc>
        <w:tc>
          <w:tcPr>
            <w:tcW w:w="1697"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 xml:space="preserve">1,016,968.00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 xml:space="preserve">137,958.43 </w:t>
            </w:r>
          </w:p>
        </w:tc>
        <w:tc>
          <w:tcPr>
            <w:tcW w:w="1662"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1,154,926.43</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center"/>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2.公用经费</w:t>
            </w:r>
          </w:p>
        </w:tc>
        <w:tc>
          <w:tcPr>
            <w:tcW w:w="1697"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121,136.00</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c>
          <w:tcPr>
            <w:tcW w:w="1662" w:type="dxa"/>
            <w:shd w:val="clear" w:color="auto" w:fill="FFFFFF" w:themeFill="background1"/>
            <w:vAlign w:val="bottom"/>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 xml:space="preserve">121,136.00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二、项目支出</w:t>
            </w:r>
          </w:p>
        </w:tc>
        <w:tc>
          <w:tcPr>
            <w:tcW w:w="1697"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 xml:space="preserve">838,000.00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 xml:space="preserve">625,972.83 </w:t>
            </w:r>
          </w:p>
        </w:tc>
        <w:tc>
          <w:tcPr>
            <w:tcW w:w="1662" w:type="dxa"/>
            <w:shd w:val="clear" w:color="auto" w:fill="FFFFFF" w:themeFill="background1"/>
            <w:vAlign w:val="bottom"/>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 xml:space="preserve">1,326,014.40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w:t>
            </w:r>
            <w:r>
              <w:rPr>
                <w:rFonts w:hint="default" w:ascii="仿宋" w:hAnsi="仿宋" w:eastAsia="仿宋" w:cs="仿宋"/>
                <w:i w:val="0"/>
                <w:color w:val="000000"/>
                <w:kern w:val="0"/>
                <w:sz w:val="22"/>
                <w:szCs w:val="22"/>
                <w:highlight w:val="none"/>
                <w:u w:val="none"/>
                <w:lang w:val="en-US" w:eastAsia="zh-CN" w:bidi="ar"/>
              </w:rPr>
              <w:t>老年音乐舞蹈协会经费</w:t>
            </w:r>
          </w:p>
        </w:tc>
        <w:tc>
          <w:tcPr>
            <w:tcW w:w="1697"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5,000.00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c>
          <w:tcPr>
            <w:tcW w:w="1662"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5,000.00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2.</w:t>
            </w:r>
            <w:r>
              <w:rPr>
                <w:rFonts w:hint="default" w:ascii="仿宋" w:hAnsi="仿宋" w:eastAsia="仿宋" w:cs="仿宋"/>
                <w:i w:val="0"/>
                <w:color w:val="000000"/>
                <w:kern w:val="0"/>
                <w:sz w:val="22"/>
                <w:szCs w:val="22"/>
                <w:highlight w:val="none"/>
                <w:u w:val="none"/>
                <w:lang w:val="en-US" w:eastAsia="zh-CN" w:bidi="ar"/>
              </w:rPr>
              <w:t>老年书画协会经费</w:t>
            </w:r>
          </w:p>
        </w:tc>
        <w:tc>
          <w:tcPr>
            <w:tcW w:w="1697"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5,000.00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c>
          <w:tcPr>
            <w:tcW w:w="1662"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5,000.00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3.</w:t>
            </w:r>
            <w:r>
              <w:rPr>
                <w:rFonts w:hint="default" w:ascii="仿宋" w:hAnsi="仿宋" w:eastAsia="仿宋" w:cs="仿宋"/>
                <w:i w:val="0"/>
                <w:color w:val="000000"/>
                <w:kern w:val="0"/>
                <w:sz w:val="22"/>
                <w:szCs w:val="22"/>
                <w:highlight w:val="none"/>
                <w:u w:val="none"/>
                <w:lang w:val="en-US" w:eastAsia="zh-CN" w:bidi="ar"/>
              </w:rPr>
              <w:t>老年体协经费</w:t>
            </w:r>
          </w:p>
        </w:tc>
        <w:tc>
          <w:tcPr>
            <w:tcW w:w="1697"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5,000.00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c>
          <w:tcPr>
            <w:tcW w:w="1662"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5,000.00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4.</w:t>
            </w:r>
            <w:r>
              <w:rPr>
                <w:rFonts w:hint="default" w:ascii="仿宋" w:hAnsi="仿宋" w:eastAsia="仿宋" w:cs="仿宋"/>
                <w:i w:val="0"/>
                <w:color w:val="000000"/>
                <w:kern w:val="0"/>
                <w:sz w:val="22"/>
                <w:szCs w:val="22"/>
                <w:highlight w:val="none"/>
                <w:u w:val="none"/>
                <w:lang w:val="en-US" w:eastAsia="zh-CN" w:bidi="ar"/>
              </w:rPr>
              <w:t>老年大学经费</w:t>
            </w:r>
          </w:p>
        </w:tc>
        <w:tc>
          <w:tcPr>
            <w:tcW w:w="1697"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13,000.00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c>
          <w:tcPr>
            <w:tcW w:w="1662"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13,000.00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5.</w:t>
            </w:r>
            <w:r>
              <w:rPr>
                <w:rFonts w:hint="default" w:ascii="仿宋" w:hAnsi="仿宋" w:eastAsia="仿宋" w:cs="仿宋"/>
                <w:i w:val="0"/>
                <w:color w:val="000000"/>
                <w:kern w:val="0"/>
                <w:sz w:val="22"/>
                <w:szCs w:val="22"/>
                <w:highlight w:val="none"/>
                <w:u w:val="none"/>
                <w:lang w:val="en-US" w:eastAsia="zh-CN" w:bidi="ar"/>
              </w:rPr>
              <w:t>老干部活动中心经费</w:t>
            </w:r>
          </w:p>
        </w:tc>
        <w:tc>
          <w:tcPr>
            <w:tcW w:w="1697"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15,000.00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c>
          <w:tcPr>
            <w:tcW w:w="1662"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15,000.00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6.</w:t>
            </w:r>
            <w:r>
              <w:rPr>
                <w:rFonts w:hint="default" w:ascii="仿宋" w:hAnsi="仿宋" w:eastAsia="仿宋" w:cs="仿宋"/>
                <w:i w:val="0"/>
                <w:color w:val="000000"/>
                <w:kern w:val="0"/>
                <w:sz w:val="22"/>
                <w:szCs w:val="22"/>
                <w:highlight w:val="none"/>
                <w:u w:val="none"/>
                <w:lang w:val="en-US" w:eastAsia="zh-CN" w:bidi="ar"/>
              </w:rPr>
              <w:t>老干部支部活动经费</w:t>
            </w:r>
          </w:p>
        </w:tc>
        <w:tc>
          <w:tcPr>
            <w:tcW w:w="1697"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20,000.00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c>
          <w:tcPr>
            <w:tcW w:w="1662"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20,000.00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7.</w:t>
            </w:r>
            <w:r>
              <w:rPr>
                <w:rFonts w:hint="default" w:ascii="仿宋" w:hAnsi="仿宋" w:eastAsia="仿宋" w:cs="仿宋"/>
                <w:i w:val="0"/>
                <w:color w:val="000000"/>
                <w:kern w:val="0"/>
                <w:sz w:val="22"/>
                <w:szCs w:val="22"/>
                <w:highlight w:val="none"/>
                <w:u w:val="none"/>
                <w:lang w:val="en-US" w:eastAsia="zh-CN" w:bidi="ar"/>
              </w:rPr>
              <w:t>老干部帮扶基金</w:t>
            </w:r>
          </w:p>
        </w:tc>
        <w:tc>
          <w:tcPr>
            <w:tcW w:w="1697"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30,000.00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c>
          <w:tcPr>
            <w:tcW w:w="1662"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30,000.00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8.</w:t>
            </w:r>
            <w:r>
              <w:rPr>
                <w:rFonts w:hint="default" w:ascii="仿宋" w:hAnsi="仿宋" w:eastAsia="仿宋" w:cs="仿宋"/>
                <w:i w:val="0"/>
                <w:color w:val="000000"/>
                <w:kern w:val="0"/>
                <w:sz w:val="22"/>
                <w:szCs w:val="22"/>
                <w:highlight w:val="none"/>
                <w:u w:val="none"/>
                <w:lang w:val="en-US" w:eastAsia="zh-CN" w:bidi="ar"/>
              </w:rPr>
              <w:t>老干部管理业务费</w:t>
            </w:r>
          </w:p>
        </w:tc>
        <w:tc>
          <w:tcPr>
            <w:tcW w:w="1697"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45,000.00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c>
          <w:tcPr>
            <w:tcW w:w="1662"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45,000.00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9.</w:t>
            </w:r>
            <w:r>
              <w:rPr>
                <w:rFonts w:hint="default" w:ascii="仿宋" w:hAnsi="仿宋" w:eastAsia="仿宋" w:cs="仿宋"/>
                <w:i w:val="0"/>
                <w:color w:val="000000"/>
                <w:kern w:val="0"/>
                <w:sz w:val="22"/>
                <w:szCs w:val="22"/>
                <w:highlight w:val="none"/>
                <w:u w:val="none"/>
                <w:lang w:val="en-US" w:eastAsia="zh-CN" w:bidi="ar"/>
              </w:rPr>
              <w:t>老干部特需费</w:t>
            </w:r>
          </w:p>
        </w:tc>
        <w:tc>
          <w:tcPr>
            <w:tcW w:w="1697" w:type="dxa"/>
            <w:shd w:val="clear" w:color="auto" w:fill="FFFFFF" w:themeFill="background1"/>
            <w:vAlign w:val="bottom"/>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700,000.00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c>
          <w:tcPr>
            <w:tcW w:w="1662" w:type="dxa"/>
            <w:shd w:val="clear" w:color="auto" w:fill="FFFFFF" w:themeFill="background1"/>
            <w:vAlign w:val="bottom"/>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700,000.00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default"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10.城镇职工独生子女家庭退休一次性奖励</w:t>
            </w:r>
          </w:p>
        </w:tc>
        <w:tc>
          <w:tcPr>
            <w:tcW w:w="1697" w:type="dxa"/>
            <w:shd w:val="clear" w:color="auto" w:fill="FFFFFF" w:themeFill="background1"/>
            <w:vAlign w:val="center"/>
          </w:tcPr>
          <w:p>
            <w:pPr>
              <w:keepNext w:val="0"/>
              <w:keepLines w:val="0"/>
              <w:widowControl/>
              <w:suppressLineNumbers w:val="0"/>
              <w:jc w:val="right"/>
              <w:textAlignment w:val="center"/>
              <w:rPr>
                <w:rFonts w:hint="default" w:ascii="仿宋" w:hAnsi="仿宋" w:eastAsia="仿宋" w:cs="仿宋"/>
                <w:i w:val="0"/>
                <w:color w:val="000000"/>
                <w:kern w:val="0"/>
                <w:sz w:val="22"/>
                <w:szCs w:val="22"/>
                <w:highlight w:val="none"/>
                <w:u w:val="none"/>
                <w:lang w:val="en-US" w:eastAsia="zh-CN" w:bidi="ar"/>
              </w:rPr>
            </w:pP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19,634.40 </w:t>
            </w:r>
          </w:p>
        </w:tc>
        <w:tc>
          <w:tcPr>
            <w:tcW w:w="1662"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19,634.40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default"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11.2019年度目标责任考核奖励资金</w:t>
            </w:r>
          </w:p>
        </w:tc>
        <w:tc>
          <w:tcPr>
            <w:tcW w:w="1697" w:type="dxa"/>
            <w:shd w:val="clear" w:color="auto" w:fill="FFFFFF" w:themeFill="background1"/>
            <w:vAlign w:val="center"/>
          </w:tcPr>
          <w:p>
            <w:pPr>
              <w:keepNext w:val="0"/>
              <w:keepLines w:val="0"/>
              <w:widowControl/>
              <w:suppressLineNumbers w:val="0"/>
              <w:jc w:val="right"/>
              <w:textAlignment w:val="center"/>
              <w:rPr>
                <w:rFonts w:hint="default" w:ascii="仿宋" w:hAnsi="仿宋" w:eastAsia="仿宋" w:cs="仿宋"/>
                <w:i w:val="0"/>
                <w:color w:val="000000"/>
                <w:kern w:val="0"/>
                <w:sz w:val="22"/>
                <w:szCs w:val="22"/>
                <w:highlight w:val="none"/>
                <w:u w:val="none"/>
                <w:lang w:val="en-US" w:eastAsia="zh-CN" w:bidi="ar"/>
              </w:rPr>
            </w:pP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80,000.00 </w:t>
            </w:r>
          </w:p>
        </w:tc>
        <w:tc>
          <w:tcPr>
            <w:tcW w:w="1662"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80,000.00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default"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12.安家抚恤补助资金</w:t>
            </w:r>
          </w:p>
        </w:tc>
        <w:tc>
          <w:tcPr>
            <w:tcW w:w="1697" w:type="dxa"/>
            <w:shd w:val="clear" w:color="auto" w:fill="FFFFFF" w:themeFill="background1"/>
            <w:vAlign w:val="center"/>
          </w:tcPr>
          <w:p>
            <w:pPr>
              <w:keepNext w:val="0"/>
              <w:keepLines w:val="0"/>
              <w:widowControl/>
              <w:suppressLineNumbers w:val="0"/>
              <w:jc w:val="right"/>
              <w:textAlignment w:val="center"/>
              <w:rPr>
                <w:rFonts w:hint="default" w:ascii="仿宋" w:hAnsi="仿宋" w:eastAsia="仿宋" w:cs="仿宋"/>
                <w:i w:val="0"/>
                <w:color w:val="000000"/>
                <w:kern w:val="0"/>
                <w:sz w:val="22"/>
                <w:szCs w:val="22"/>
                <w:highlight w:val="none"/>
                <w:u w:val="none"/>
                <w:lang w:val="en-US" w:eastAsia="zh-CN" w:bidi="ar"/>
              </w:rPr>
            </w:pP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388,380.00 </w:t>
            </w:r>
          </w:p>
        </w:tc>
        <w:tc>
          <w:tcPr>
            <w:tcW w:w="1662"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388,380.00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center"/>
              <w:textAlignment w:val="center"/>
              <w:rPr>
                <w:rFonts w:hint="default"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合计</w:t>
            </w:r>
          </w:p>
        </w:tc>
        <w:tc>
          <w:tcPr>
            <w:tcW w:w="1697" w:type="dxa"/>
            <w:shd w:val="clear" w:color="auto" w:fill="FFFFFF" w:themeFill="background1"/>
            <w:vAlign w:val="center"/>
          </w:tcPr>
          <w:p>
            <w:pPr>
              <w:keepNext w:val="0"/>
              <w:keepLines w:val="0"/>
              <w:widowControl/>
              <w:suppressLineNumbers w:val="0"/>
              <w:jc w:val="right"/>
              <w:textAlignment w:val="center"/>
              <w:rPr>
                <w:rFonts w:hint="default"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1,976,104.00 </w:t>
            </w:r>
          </w:p>
        </w:tc>
        <w:tc>
          <w:tcPr>
            <w:tcW w:w="1595" w:type="dxa"/>
            <w:shd w:val="clear" w:color="auto" w:fill="FFFFFF" w:themeFill="background1"/>
            <w:vAlign w:val="center"/>
          </w:tcPr>
          <w:p>
            <w:pPr>
              <w:keepNext w:val="0"/>
              <w:keepLines w:val="0"/>
              <w:widowControl/>
              <w:suppressLineNumbers w:val="0"/>
              <w:jc w:val="right"/>
              <w:textAlignment w:val="center"/>
              <w:rPr>
                <w:rFonts w:hint="default"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625,972.83 </w:t>
            </w:r>
          </w:p>
        </w:tc>
        <w:tc>
          <w:tcPr>
            <w:tcW w:w="1662" w:type="dxa"/>
            <w:shd w:val="clear" w:color="auto" w:fill="FFFFFF" w:themeFill="background1"/>
            <w:vAlign w:val="center"/>
          </w:tcPr>
          <w:p>
            <w:pPr>
              <w:keepNext w:val="0"/>
              <w:keepLines w:val="0"/>
              <w:widowControl/>
              <w:suppressLineNumbers w:val="0"/>
              <w:jc w:val="right"/>
              <w:textAlignment w:val="center"/>
              <w:rPr>
                <w:rFonts w:hint="default"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2,602,076.83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bl>
    <w:p>
      <w:pPr>
        <w:widowControl/>
        <w:snapToGrid w:val="0"/>
        <w:spacing w:line="578" w:lineRule="exact"/>
        <w:ind w:firstLine="562" w:firstLineChars="200"/>
        <w:rPr>
          <w:rFonts w:hint="eastAsia" w:ascii="仿宋" w:hAnsi="仿宋" w:eastAsia="仿宋" w:cs="仿宋"/>
          <w:b/>
          <w:bCs/>
          <w:color w:val="000000"/>
          <w:kern w:val="0"/>
          <w:sz w:val="28"/>
          <w:szCs w:val="28"/>
          <w:highlight w:val="none"/>
          <w:shd w:val="clear" w:color="auto" w:fill="FFFFFF"/>
        </w:rPr>
      </w:pPr>
      <w:r>
        <w:rPr>
          <w:rFonts w:hint="eastAsia" w:ascii="仿宋" w:hAnsi="仿宋" w:eastAsia="仿宋" w:cs="仿宋"/>
          <w:b/>
          <w:bCs/>
          <w:color w:val="000000"/>
          <w:kern w:val="0"/>
          <w:sz w:val="28"/>
          <w:szCs w:val="28"/>
          <w:highlight w:val="none"/>
          <w:shd w:val="clear" w:color="auto" w:fill="FFFFFF"/>
          <w:lang w:val="en-US" w:eastAsia="zh-CN"/>
        </w:rPr>
        <w:t>4</w:t>
      </w:r>
      <w:r>
        <w:rPr>
          <w:rFonts w:hint="eastAsia" w:ascii="仿宋" w:hAnsi="仿宋" w:eastAsia="仿宋" w:cs="仿宋"/>
          <w:b/>
          <w:bCs/>
          <w:color w:val="000000"/>
          <w:kern w:val="0"/>
          <w:sz w:val="28"/>
          <w:szCs w:val="28"/>
          <w:highlight w:val="none"/>
          <w:shd w:val="clear" w:color="auto" w:fill="FFFFFF"/>
          <w:lang w:eastAsia="zh-CN"/>
        </w:rPr>
        <w:t>.</w:t>
      </w:r>
      <w:r>
        <w:rPr>
          <w:rFonts w:hint="eastAsia" w:ascii="仿宋" w:hAnsi="仿宋" w:eastAsia="仿宋" w:cs="仿宋"/>
          <w:b/>
          <w:bCs/>
          <w:color w:val="000000"/>
          <w:kern w:val="0"/>
          <w:sz w:val="28"/>
          <w:szCs w:val="28"/>
          <w:highlight w:val="none"/>
          <w:shd w:val="clear" w:color="auto" w:fill="FFFFFF"/>
        </w:rPr>
        <w:t>资金结转</w:t>
      </w:r>
      <w:r>
        <w:rPr>
          <w:rFonts w:hint="eastAsia" w:ascii="仿宋" w:hAnsi="仿宋" w:eastAsia="仿宋" w:cs="仿宋"/>
          <w:b/>
          <w:bCs/>
          <w:color w:val="000000"/>
          <w:kern w:val="0"/>
          <w:sz w:val="28"/>
          <w:szCs w:val="28"/>
          <w:highlight w:val="none"/>
          <w:shd w:val="clear" w:color="auto" w:fill="FFFFFF"/>
          <w:lang w:val="en-US" w:eastAsia="zh-CN"/>
        </w:rPr>
        <w:t>结余</w:t>
      </w:r>
      <w:r>
        <w:rPr>
          <w:rFonts w:hint="eastAsia" w:ascii="仿宋" w:hAnsi="仿宋" w:eastAsia="仿宋" w:cs="仿宋"/>
          <w:b/>
          <w:bCs/>
          <w:color w:val="000000"/>
          <w:kern w:val="0"/>
          <w:sz w:val="28"/>
          <w:szCs w:val="28"/>
          <w:highlight w:val="none"/>
          <w:shd w:val="clear" w:color="auto" w:fill="FFFFFF"/>
        </w:rPr>
        <w:t>情况</w:t>
      </w:r>
    </w:p>
    <w:p>
      <w:pPr>
        <w:bidi w:val="0"/>
        <w:ind w:firstLine="560" w:firstLineChars="200"/>
        <w:rPr>
          <w:rFonts w:hint="eastAsia" w:ascii="仿宋" w:hAnsi="仿宋" w:eastAsia="仿宋" w:cs="仿宋"/>
          <w:color w:val="000000"/>
          <w:kern w:val="0"/>
          <w:sz w:val="28"/>
          <w:szCs w:val="28"/>
          <w:highlight w:val="none"/>
          <w:shd w:val="clear" w:color="auto" w:fill="FFFFFF"/>
          <w:lang w:val="en-US" w:eastAsia="zh-CN"/>
        </w:rPr>
      </w:pPr>
      <w:r>
        <w:rPr>
          <w:rFonts w:hint="eastAsia" w:ascii="仿宋" w:hAnsi="仿宋" w:eastAsia="仿宋" w:cs="仿宋"/>
          <w:color w:val="000000"/>
          <w:kern w:val="0"/>
          <w:sz w:val="28"/>
          <w:szCs w:val="28"/>
          <w:highlight w:val="none"/>
          <w:shd w:val="clear" w:color="auto" w:fill="FFFFFF"/>
          <w:lang w:val="en-US" w:eastAsia="zh-CN"/>
        </w:rPr>
        <w:t>临猗县老干部局2020年年初无财政结转资金，年末无财政结余资金。</w:t>
      </w:r>
    </w:p>
    <w:p>
      <w:pPr>
        <w:bidi w:val="0"/>
        <w:ind w:firstLine="560" w:firstLineChars="200"/>
        <w:rPr>
          <w:rFonts w:hint="default" w:ascii="仿宋" w:hAnsi="仿宋" w:eastAsia="仿宋" w:cs="仿宋"/>
          <w:color w:val="000000"/>
          <w:kern w:val="0"/>
          <w:sz w:val="28"/>
          <w:szCs w:val="28"/>
          <w:highlight w:val="none"/>
          <w:shd w:val="clear" w:color="auto" w:fill="FFFFFF"/>
          <w:lang w:val="en-US" w:eastAsia="zh-CN"/>
        </w:rPr>
      </w:pPr>
      <w:r>
        <w:rPr>
          <w:rFonts w:hint="eastAsia" w:ascii="仿宋" w:hAnsi="仿宋" w:eastAsia="仿宋" w:cs="仿宋"/>
          <w:color w:val="000000"/>
          <w:kern w:val="0"/>
          <w:sz w:val="28"/>
          <w:szCs w:val="28"/>
          <w:highlight w:val="none"/>
          <w:shd w:val="clear" w:color="auto" w:fill="FFFFFF"/>
          <w:lang w:val="en-US" w:eastAsia="zh-CN"/>
        </w:rPr>
        <w:t>临猗县老干部局2020年年初非财政拨款结转资金73,023.32元，年末非财政拨款结余资金1,85.67元。本次未将非财政拨款结转资金纳入部门整体支出绩效评价。</w:t>
      </w:r>
    </w:p>
    <w:p>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outlineLvl w:val="1"/>
        <w:rPr>
          <w:rFonts w:hint="default" w:ascii="仿宋_GB2312" w:hAnsi="Times New Roman" w:eastAsia="仿宋_GB2312" w:cs="Times New Roman"/>
          <w:b/>
          <w:bCs/>
          <w:kern w:val="2"/>
          <w:sz w:val="28"/>
          <w:szCs w:val="28"/>
          <w:highlight w:val="none"/>
          <w:lang w:val="en-US" w:eastAsia="zh-CN" w:bidi="ar-SA"/>
        </w:rPr>
      </w:pPr>
      <w:r>
        <w:rPr>
          <w:rFonts w:hint="default" w:ascii="仿宋_GB2312" w:hAnsi="Times New Roman" w:eastAsia="仿宋_GB2312" w:cs="Times New Roman"/>
          <w:b/>
          <w:bCs/>
          <w:kern w:val="2"/>
          <w:sz w:val="28"/>
          <w:szCs w:val="28"/>
          <w:highlight w:val="none"/>
          <w:lang w:val="en-US" w:eastAsia="zh-CN" w:bidi="ar-SA"/>
        </w:rPr>
        <w:t>（</w:t>
      </w:r>
      <w:r>
        <w:rPr>
          <w:rFonts w:hint="eastAsia" w:ascii="仿宋_GB2312" w:eastAsia="仿宋_GB2312" w:cs="Times New Roman"/>
          <w:b/>
          <w:bCs/>
          <w:kern w:val="2"/>
          <w:sz w:val="28"/>
          <w:szCs w:val="28"/>
          <w:highlight w:val="none"/>
          <w:lang w:val="en-US" w:eastAsia="zh-CN" w:bidi="ar-SA"/>
        </w:rPr>
        <w:t>三</w:t>
      </w:r>
      <w:r>
        <w:rPr>
          <w:rFonts w:hint="default" w:ascii="仿宋_GB2312" w:hAnsi="Times New Roman" w:eastAsia="仿宋_GB2312" w:cs="Times New Roman"/>
          <w:b/>
          <w:bCs/>
          <w:kern w:val="2"/>
          <w:sz w:val="28"/>
          <w:szCs w:val="28"/>
          <w:highlight w:val="none"/>
          <w:lang w:val="en-US" w:eastAsia="zh-CN" w:bidi="ar-SA"/>
        </w:rPr>
        <w:t>）部门整体绩效目标</w:t>
      </w:r>
      <w:bookmarkEnd w:id="16"/>
    </w:p>
    <w:p>
      <w:pPr>
        <w:ind w:firstLine="691"/>
        <w:outlineLvl w:val="0"/>
        <w:rPr>
          <w:rFonts w:hint="eastAsia" w:ascii="仿宋" w:hAnsi="仿宋" w:eastAsia="仿宋" w:cs="仿宋"/>
          <w:b/>
          <w:bCs w:val="0"/>
          <w:sz w:val="28"/>
          <w:szCs w:val="28"/>
          <w:highlight w:val="none"/>
          <w:lang w:val="en-US" w:eastAsia="zh-CN"/>
        </w:rPr>
      </w:pPr>
      <w:bookmarkStart w:id="17" w:name="_Toc6565"/>
      <w:r>
        <w:rPr>
          <w:rFonts w:hint="eastAsia" w:ascii="仿宋" w:hAnsi="仿宋" w:eastAsia="仿宋" w:cs="仿宋"/>
          <w:b/>
          <w:bCs w:val="0"/>
          <w:sz w:val="28"/>
          <w:szCs w:val="28"/>
          <w:highlight w:val="none"/>
          <w:lang w:val="en-US" w:eastAsia="zh-CN"/>
        </w:rPr>
        <w:t>1.总体目标</w:t>
      </w:r>
    </w:p>
    <w:p>
      <w:pPr>
        <w:pStyle w:val="2"/>
        <w:numPr>
          <w:ilvl w:val="0"/>
          <w:numId w:val="0"/>
        </w:numPr>
        <w:ind w:firstLine="600" w:firstLineChars="200"/>
        <w:rPr>
          <w:rFonts w:hint="eastAsia" w:ascii="仿宋" w:hAnsi="仿宋" w:eastAsia="仿宋" w:cs="仿宋"/>
          <w:sz w:val="28"/>
          <w:szCs w:val="28"/>
          <w:highlight w:val="none"/>
          <w:lang w:val="en-US" w:eastAsia="zh-CN"/>
        </w:rPr>
      </w:pPr>
      <w:r>
        <w:rPr>
          <w:rFonts w:hint="eastAsia"/>
          <w:highlight w:val="none"/>
          <w:lang w:val="en-US" w:eastAsia="zh-CN"/>
        </w:rPr>
        <w:t xml:space="preserve"> </w:t>
      </w:r>
      <w:r>
        <w:rPr>
          <w:rFonts w:hint="eastAsia" w:ascii="仿宋" w:hAnsi="仿宋" w:eastAsia="仿宋" w:cs="仿宋"/>
          <w:sz w:val="28"/>
          <w:szCs w:val="28"/>
          <w:highlight w:val="none"/>
          <w:lang w:val="en-US" w:eastAsia="zh-CN"/>
        </w:rPr>
        <w:t>贯彻党中央、国务院、省委</w:t>
      </w:r>
      <w:r>
        <w:rPr>
          <w:rFonts w:hint="eastAsia" w:ascii="仿宋" w:hAnsi="仿宋" w:eastAsia="仿宋" w:cs="仿宋"/>
          <w:strike w:val="0"/>
          <w:dstrike w:val="0"/>
          <w:sz w:val="28"/>
          <w:szCs w:val="28"/>
          <w:highlight w:val="none"/>
          <w:lang w:val="en-US" w:eastAsia="zh-CN"/>
        </w:rPr>
        <w:t>贯彻党中央、国务院、省委、省政府、市委、市政府关于离退休干部工作的方针政策；开展调查研究，为县委、县政府和有关部门制定离退休干部工作政策规定提供情况和依据。负责对全县离退休干部工作的监督、检查、指导和协调；督促离退休干部政治待遇和生活待遇的落实。检查、督促、指导离退休干部的政治建设、思想建设和党组织建设，加强离退休干部的学习教育，做好思想政治工作；组织指导离退休干部为党和人民事业增添正能量。负责组织指导离退休干部学习活动阵地建设，开展文体健身活动。</w:t>
      </w:r>
      <w:r>
        <w:rPr>
          <w:rFonts w:hint="eastAsia" w:ascii="仿宋" w:hAnsi="仿宋" w:eastAsia="仿宋" w:cs="仿宋"/>
          <w:sz w:val="28"/>
          <w:szCs w:val="28"/>
          <w:highlight w:val="none"/>
          <w:lang w:val="en-US" w:eastAsia="zh-CN"/>
        </w:rPr>
        <w:t>指导全县离退休干部工作机构的自身建设</w:t>
      </w:r>
      <w:r>
        <w:rPr>
          <w:rFonts w:hint="eastAsia" w:ascii="仿宋" w:hAnsi="仿宋" w:eastAsia="仿宋" w:cs="仿宋"/>
          <w:strike w:val="0"/>
          <w:dstrike w:val="0"/>
          <w:sz w:val="28"/>
          <w:szCs w:val="28"/>
          <w:highlight w:val="none"/>
          <w:lang w:val="en-US" w:eastAsia="zh-CN"/>
        </w:rPr>
        <w:t>。负责抓好离退休干部学习教育工作，办好各级老年大学。完成县委交办的其他任务。</w:t>
      </w:r>
    </w:p>
    <w:p>
      <w:pPr>
        <w:ind w:firstLine="691"/>
        <w:outlineLvl w:val="0"/>
        <w:rPr>
          <w:rFonts w:hint="default"/>
          <w:highlight w:val="none"/>
          <w:lang w:val="en-US" w:eastAsia="zh-CN"/>
        </w:rPr>
      </w:pPr>
      <w:r>
        <w:rPr>
          <w:rFonts w:hint="eastAsia" w:ascii="仿宋" w:hAnsi="仿宋" w:eastAsia="仿宋" w:cs="仿宋"/>
          <w:b/>
          <w:bCs w:val="0"/>
          <w:sz w:val="28"/>
          <w:szCs w:val="28"/>
          <w:highlight w:val="none"/>
          <w:lang w:val="en-US" w:eastAsia="zh-CN"/>
        </w:rPr>
        <w:t>2.2020年主要工作任务</w:t>
      </w:r>
    </w:p>
    <w:p>
      <w:pPr>
        <w:pStyle w:val="2"/>
        <w:numPr>
          <w:ilvl w:val="0"/>
          <w:numId w:val="0"/>
        </w:numPr>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（1）完成2020年春节慰问离退休干部工作。</w:t>
      </w:r>
    </w:p>
    <w:p>
      <w:pPr>
        <w:pStyle w:val="2"/>
        <w:numPr>
          <w:ilvl w:val="0"/>
          <w:numId w:val="0"/>
        </w:numPr>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（2）完成“两会”服务工作。</w:t>
      </w:r>
    </w:p>
    <w:p>
      <w:pPr>
        <w:pStyle w:val="2"/>
        <w:numPr>
          <w:ilvl w:val="0"/>
          <w:numId w:val="0"/>
        </w:numPr>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（3）组织离退休干部健康体检。</w:t>
      </w:r>
    </w:p>
    <w:p>
      <w:pPr>
        <w:pStyle w:val="2"/>
        <w:numPr>
          <w:ilvl w:val="0"/>
          <w:numId w:val="0"/>
        </w:numPr>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（4）举办老干部工作人员及党支部书记培训班。</w:t>
      </w:r>
    </w:p>
    <w:p>
      <w:pPr>
        <w:pStyle w:val="2"/>
        <w:numPr>
          <w:ilvl w:val="0"/>
          <w:numId w:val="0"/>
        </w:numPr>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（5）优化老干部活动设施，组建临猗老干部门球队。</w:t>
      </w:r>
    </w:p>
    <w:p>
      <w:pPr>
        <w:pStyle w:val="2"/>
        <w:numPr>
          <w:ilvl w:val="0"/>
          <w:numId w:val="0"/>
        </w:numPr>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（6）推进社区“四就近”工作。</w:t>
      </w:r>
    </w:p>
    <w:p>
      <w:pPr>
        <w:pStyle w:val="2"/>
        <w:numPr>
          <w:ilvl w:val="0"/>
          <w:numId w:val="0"/>
        </w:numPr>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（7）组织老年活动中心、老年大学、老干部党支部、老年音乐舞蹈协会、老年书画协会、老年体协开展学习教育及文体活动。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2" w:firstLineChars="200"/>
        <w:textAlignment w:val="auto"/>
        <w:outlineLvl w:val="0"/>
        <w:rPr>
          <w:rFonts w:hint="default"/>
          <w:b/>
          <w:bCs/>
          <w:highlight w:val="none"/>
          <w:lang w:val="en-US" w:eastAsia="zh-CN"/>
        </w:rPr>
      </w:pPr>
      <w:r>
        <w:rPr>
          <w:rFonts w:hint="eastAsia"/>
          <w:b/>
          <w:bCs/>
          <w:highlight w:val="none"/>
          <w:lang w:val="en-US" w:eastAsia="zh-CN"/>
        </w:rPr>
        <w:t>二、评价工作情况</w:t>
      </w:r>
      <w:bookmarkEnd w:id="17"/>
    </w:p>
    <w:p>
      <w:pPr>
        <w:keepNext w:val="0"/>
        <w:keepLines w:val="0"/>
        <w:pageBreakBefore w:val="0"/>
        <w:widowControl w:val="0"/>
        <w:kinsoku/>
        <w:wordWrap/>
        <w:overflowPunct/>
        <w:topLinePunct w:val="0"/>
        <w:autoSpaceDE/>
        <w:autoSpaceDN/>
        <w:bidi w:val="0"/>
        <w:adjustRightInd/>
        <w:snapToGrid/>
        <w:spacing w:line="580" w:lineRule="exact"/>
        <w:ind w:firstLine="691"/>
        <w:textAlignment w:val="auto"/>
        <w:outlineLvl w:val="1"/>
        <w:rPr>
          <w:rFonts w:hint="eastAsia" w:ascii="仿宋" w:hAnsi="仿宋" w:eastAsia="仿宋" w:cs="仿宋"/>
          <w:b/>
          <w:sz w:val="28"/>
          <w:szCs w:val="28"/>
          <w:highlight w:val="none"/>
          <w:lang w:eastAsia="zh-CN"/>
        </w:rPr>
      </w:pPr>
      <w:bookmarkStart w:id="18" w:name="_Toc3613_WPSOffice_Level2"/>
      <w:bookmarkStart w:id="19" w:name="_Toc9883_WPSOffice_Level2"/>
      <w:bookmarkStart w:id="20" w:name="_Toc23113"/>
      <w:bookmarkStart w:id="21" w:name="_Toc23969_WPSOffice_Level2"/>
      <w:bookmarkStart w:id="22" w:name="_Toc8672_WPSOffice_Level2"/>
      <w:bookmarkStart w:id="23" w:name="_Toc12"/>
      <w:bookmarkStart w:id="24" w:name="_Toc664_WPSOffice_Level2"/>
      <w:r>
        <w:rPr>
          <w:rFonts w:hint="eastAsia" w:ascii="仿宋" w:hAnsi="仿宋" w:eastAsia="仿宋" w:cs="仿宋"/>
          <w:b/>
          <w:sz w:val="28"/>
          <w:szCs w:val="28"/>
          <w:highlight w:val="none"/>
          <w:lang w:eastAsia="zh-CN"/>
        </w:rPr>
        <w:t>（一）绩效评价的目的和依据</w:t>
      </w:r>
      <w:bookmarkEnd w:id="18"/>
      <w:bookmarkEnd w:id="19"/>
      <w:bookmarkEnd w:id="20"/>
      <w:bookmarkEnd w:id="21"/>
      <w:bookmarkEnd w:id="22"/>
      <w:bookmarkEnd w:id="23"/>
      <w:bookmarkEnd w:id="24"/>
    </w:p>
    <w:p>
      <w:pPr>
        <w:keepNext w:val="0"/>
        <w:keepLines w:val="0"/>
        <w:pageBreakBefore w:val="0"/>
        <w:widowControl w:val="0"/>
        <w:kinsoku/>
        <w:wordWrap/>
        <w:overflowPunct/>
        <w:topLinePunct w:val="0"/>
        <w:autoSpaceDE/>
        <w:autoSpaceDN/>
        <w:bidi w:val="0"/>
        <w:adjustRightInd/>
        <w:snapToGrid/>
        <w:spacing w:line="580" w:lineRule="exact"/>
        <w:ind w:firstLine="691"/>
        <w:textAlignment w:val="auto"/>
        <w:outlineLvl w:val="9"/>
        <w:rPr>
          <w:rFonts w:hint="eastAsia" w:ascii="仿宋" w:hAnsi="仿宋" w:eastAsia="仿宋" w:cs="仿宋"/>
          <w:b/>
          <w:bCs w:val="0"/>
          <w:sz w:val="28"/>
          <w:szCs w:val="28"/>
          <w:highlight w:val="none"/>
          <w:lang w:val="en-US" w:eastAsia="zh-CN"/>
        </w:rPr>
      </w:pPr>
      <w:bookmarkStart w:id="25" w:name="_Toc30571"/>
      <w:r>
        <w:rPr>
          <w:rFonts w:hint="eastAsia" w:ascii="仿宋" w:hAnsi="仿宋" w:eastAsia="仿宋" w:cs="仿宋"/>
          <w:b/>
          <w:bCs w:val="0"/>
          <w:sz w:val="28"/>
          <w:szCs w:val="28"/>
          <w:highlight w:val="none"/>
          <w:lang w:val="en-US" w:eastAsia="zh-CN"/>
        </w:rPr>
        <w:t>1.绩效评价的目的</w:t>
      </w:r>
      <w:bookmarkEnd w:id="25"/>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财政支出绩效评价旨在通过评价改善预算部门的财政支出管理，优化资源配置及提高公共服务水平。本次绩效评价</w:t>
      </w:r>
      <w:r>
        <w:rPr>
          <w:rFonts w:hint="eastAsia" w:ascii="仿宋" w:hAnsi="仿宋" w:eastAsia="仿宋" w:cs="仿宋"/>
          <w:sz w:val="28"/>
          <w:szCs w:val="28"/>
          <w:highlight w:val="none"/>
          <w:lang w:val="en-US" w:eastAsia="zh-CN"/>
        </w:rPr>
        <w:t>遵循</w:t>
      </w:r>
      <w:r>
        <w:rPr>
          <w:rFonts w:hint="eastAsia" w:ascii="仿宋" w:hAnsi="仿宋" w:eastAsia="仿宋" w:cs="仿宋"/>
          <w:sz w:val="28"/>
          <w:szCs w:val="28"/>
        </w:rPr>
        <w:t>财政部《关于推进绩效管理的指导意见》（财预〔2011</w:t>
      </w:r>
      <w:r>
        <w:rPr>
          <w:rFonts w:hint="eastAsia" w:ascii="仿宋" w:hAnsi="仿宋" w:eastAsia="仿宋" w:cs="仿宋"/>
          <w:bCs/>
          <w:sz w:val="28"/>
          <w:szCs w:val="28"/>
          <w:lang w:bidi="ar"/>
        </w:rPr>
        <w:t>〕</w:t>
      </w:r>
      <w:r>
        <w:rPr>
          <w:rFonts w:hint="eastAsia" w:ascii="仿宋" w:hAnsi="仿宋" w:eastAsia="仿宋" w:cs="仿宋"/>
          <w:sz w:val="28"/>
          <w:szCs w:val="28"/>
        </w:rPr>
        <w:t>416号）</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项目支出绩效评价管理办法</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财预</w:t>
      </w:r>
      <w:r>
        <w:rPr>
          <w:rFonts w:hint="eastAsia" w:ascii="仿宋" w:hAnsi="仿宋" w:eastAsia="仿宋" w:cs="仿宋"/>
          <w:sz w:val="28"/>
          <w:szCs w:val="28"/>
        </w:rPr>
        <w:t>〔20</w:t>
      </w:r>
      <w:r>
        <w:rPr>
          <w:rFonts w:hint="eastAsia" w:ascii="仿宋" w:hAnsi="仿宋" w:eastAsia="仿宋" w:cs="仿宋"/>
          <w:sz w:val="28"/>
          <w:szCs w:val="28"/>
          <w:lang w:val="en-US" w:eastAsia="zh-CN"/>
        </w:rPr>
        <w:t>20</w:t>
      </w:r>
      <w:r>
        <w:rPr>
          <w:rFonts w:hint="eastAsia" w:ascii="仿宋" w:hAnsi="仿宋" w:eastAsia="仿宋" w:cs="仿宋"/>
          <w:bCs/>
          <w:sz w:val="28"/>
          <w:szCs w:val="28"/>
          <w:lang w:bidi="ar"/>
        </w:rPr>
        <w:t>〕</w:t>
      </w:r>
      <w:r>
        <w:rPr>
          <w:rFonts w:hint="eastAsia" w:ascii="仿宋" w:hAnsi="仿宋" w:eastAsia="仿宋" w:cs="仿宋"/>
          <w:bCs/>
          <w:sz w:val="28"/>
          <w:szCs w:val="28"/>
          <w:lang w:val="en-US" w:eastAsia="zh-CN" w:bidi="ar"/>
        </w:rPr>
        <w:t>10号）及</w:t>
      </w:r>
      <w:r>
        <w:rPr>
          <w:rFonts w:hint="eastAsia" w:ascii="仿宋" w:hAnsi="仿宋" w:eastAsia="仿宋" w:cs="仿宋"/>
          <w:sz w:val="28"/>
          <w:szCs w:val="28"/>
        </w:rPr>
        <w:t>山西省财政厅《山西省预算绩效评价管理办法》（晋财资〔2014</w:t>
      </w:r>
      <w:r>
        <w:rPr>
          <w:rFonts w:hint="eastAsia" w:ascii="仿宋" w:hAnsi="仿宋" w:eastAsia="仿宋" w:cs="仿宋"/>
          <w:bCs/>
          <w:sz w:val="28"/>
          <w:szCs w:val="28"/>
          <w:lang w:bidi="ar"/>
        </w:rPr>
        <w:t>〕</w:t>
      </w:r>
      <w:r>
        <w:rPr>
          <w:rFonts w:hint="eastAsia" w:ascii="仿宋" w:hAnsi="仿宋" w:eastAsia="仿宋" w:cs="仿宋"/>
          <w:sz w:val="28"/>
          <w:szCs w:val="28"/>
        </w:rPr>
        <w:t>36号）</w:t>
      </w:r>
      <w:r>
        <w:rPr>
          <w:rFonts w:hint="eastAsia" w:ascii="仿宋" w:hAnsi="仿宋" w:eastAsia="仿宋" w:cs="仿宋"/>
          <w:sz w:val="28"/>
          <w:szCs w:val="28"/>
          <w:highlight w:val="none"/>
          <w:lang w:eastAsia="zh-CN"/>
        </w:rPr>
        <w:t>等文件的相关规定，客观、公正、全面地评价</w:t>
      </w:r>
      <w:r>
        <w:rPr>
          <w:rFonts w:hint="eastAsia" w:ascii="仿宋" w:hAnsi="仿宋" w:eastAsia="仿宋" w:cs="仿宋"/>
          <w:sz w:val="28"/>
          <w:szCs w:val="28"/>
          <w:highlight w:val="none"/>
          <w:lang w:val="en-US" w:eastAsia="zh-CN"/>
        </w:rPr>
        <w:t>临猗县老干部局2020年度</w:t>
      </w:r>
      <w:r>
        <w:rPr>
          <w:rFonts w:hint="eastAsia" w:ascii="仿宋" w:hAnsi="仿宋" w:eastAsia="仿宋" w:cs="仿宋"/>
          <w:sz w:val="28"/>
          <w:szCs w:val="28"/>
          <w:highlight w:val="none"/>
          <w:lang w:eastAsia="zh-CN"/>
        </w:rPr>
        <w:t>整体支出情况，总结经验，发现问题，并提出改进的相关措施和建议。</w:t>
      </w:r>
    </w:p>
    <w:p>
      <w:pPr>
        <w:keepNext w:val="0"/>
        <w:keepLines w:val="0"/>
        <w:pageBreakBefore w:val="0"/>
        <w:widowControl w:val="0"/>
        <w:kinsoku/>
        <w:wordWrap/>
        <w:overflowPunct/>
        <w:topLinePunct w:val="0"/>
        <w:autoSpaceDE/>
        <w:autoSpaceDN/>
        <w:bidi w:val="0"/>
        <w:adjustRightInd/>
        <w:snapToGrid/>
        <w:spacing w:line="580" w:lineRule="exact"/>
        <w:ind w:firstLine="691"/>
        <w:textAlignment w:val="auto"/>
        <w:outlineLvl w:val="9"/>
        <w:rPr>
          <w:rFonts w:hint="eastAsia" w:ascii="仿宋" w:hAnsi="仿宋" w:eastAsia="仿宋" w:cs="仿宋"/>
          <w:b/>
          <w:bCs w:val="0"/>
          <w:sz w:val="28"/>
          <w:szCs w:val="28"/>
          <w:highlight w:val="none"/>
          <w:lang w:eastAsia="zh-CN"/>
        </w:rPr>
      </w:pPr>
      <w:bookmarkStart w:id="26" w:name="_Toc17120"/>
      <w:r>
        <w:rPr>
          <w:rFonts w:hint="eastAsia" w:ascii="仿宋" w:hAnsi="仿宋" w:eastAsia="仿宋" w:cs="仿宋"/>
          <w:b/>
          <w:bCs w:val="0"/>
          <w:sz w:val="28"/>
          <w:szCs w:val="28"/>
          <w:highlight w:val="none"/>
          <w:lang w:eastAsia="zh-CN"/>
        </w:rPr>
        <w:t>2.绩效评价依据</w:t>
      </w:r>
      <w:bookmarkEnd w:id="26"/>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（1）《中华人民共和国预算法》</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（2）《中共中央 国务院关于全面实施预算绩效管理的意见》（中发〔2018〕34号）</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（3）《关于贯彻落实&lt;中共中央 国务院关于全面实施预算绩效管理的意见&gt;的通知》（财预〔2018〕167号）</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（4）财政部关于印发《项目支出绩效评价管理办法》的通知（财预〔2020〕10号）</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（5）财政部关于印发《第三方机构预算绩效评价业务监督管理暂行办法》的通知（财监[2021]4号）</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（6）山西省财政厅关于印发《省级项目支出绩效评价管理办法》的通知（晋财绩〔2020〕17号）</w:t>
      </w:r>
    </w:p>
    <w:p>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（7）中国注册会计师协会关于印发《会计师事务所财政支出绩效评价业务指引》的通知（会协〔2016〕10号）</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8）关于</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中共临猗县委老干部局职能配置、内设机构和人员编制规定</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的通知</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临办发</w:t>
      </w:r>
      <w:r>
        <w:rPr>
          <w:rFonts w:hint="eastAsia" w:ascii="仿宋" w:hAnsi="仿宋" w:eastAsia="仿宋" w:cs="仿宋"/>
          <w:sz w:val="28"/>
          <w:szCs w:val="28"/>
          <w:highlight w:val="none"/>
        </w:rPr>
        <w:t>〔201</w:t>
      </w:r>
      <w:r>
        <w:rPr>
          <w:rFonts w:hint="eastAsia" w:ascii="仿宋" w:hAnsi="仿宋" w:eastAsia="仿宋" w:cs="仿宋"/>
          <w:sz w:val="28"/>
          <w:szCs w:val="28"/>
          <w:highlight w:val="none"/>
          <w:lang w:val="en-US" w:eastAsia="zh-CN"/>
        </w:rPr>
        <w:t>9</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31</w:t>
      </w:r>
      <w:r>
        <w:rPr>
          <w:rFonts w:hint="eastAsia" w:ascii="仿宋" w:hAnsi="仿宋" w:eastAsia="仿宋" w:cs="仿宋"/>
          <w:sz w:val="28"/>
          <w:szCs w:val="28"/>
          <w:highlight w:val="none"/>
        </w:rPr>
        <w:t>号</w:t>
      </w:r>
      <w:r>
        <w:rPr>
          <w:rFonts w:hint="eastAsia" w:ascii="仿宋" w:hAnsi="仿宋" w:eastAsia="仿宋" w:cs="仿宋"/>
          <w:sz w:val="28"/>
          <w:szCs w:val="28"/>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9）</w:t>
      </w:r>
      <w:bookmarkStart w:id="27" w:name="_Toc4672_WPSOffice_Level2"/>
      <w:bookmarkStart w:id="28" w:name="_Toc2248_WPSOffice_Level2"/>
      <w:bookmarkStart w:id="29" w:name="_Toc61_WPSOffice_Level2"/>
      <w:bookmarkStart w:id="30" w:name="_Toc21066_WPSOffice_Level2"/>
      <w:bookmarkStart w:id="31" w:name="_Toc4125_WPSOffice_Level2"/>
      <w:bookmarkStart w:id="32" w:name="_Toc11872"/>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关于核定中共临猗县委老干部局所属事业单位机构编制事项的通知</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临深改办发</w:t>
      </w:r>
      <w:r>
        <w:rPr>
          <w:rFonts w:hint="eastAsia" w:ascii="仿宋" w:hAnsi="仿宋" w:eastAsia="仿宋" w:cs="仿宋"/>
          <w:sz w:val="28"/>
          <w:szCs w:val="28"/>
          <w:highlight w:val="none"/>
        </w:rPr>
        <w:t>〔201</w:t>
      </w:r>
      <w:r>
        <w:rPr>
          <w:rFonts w:hint="eastAsia" w:ascii="仿宋" w:hAnsi="仿宋" w:eastAsia="仿宋" w:cs="仿宋"/>
          <w:sz w:val="28"/>
          <w:szCs w:val="28"/>
          <w:highlight w:val="none"/>
          <w:lang w:val="en-US" w:eastAsia="zh-CN"/>
        </w:rPr>
        <w:t>9</w:t>
      </w:r>
      <w:r>
        <w:rPr>
          <w:rFonts w:hint="eastAsia" w:ascii="仿宋" w:hAnsi="仿宋" w:eastAsia="仿宋" w:cs="仿宋"/>
          <w:sz w:val="28"/>
          <w:szCs w:val="28"/>
          <w:highlight w:val="none"/>
        </w:rPr>
        <w:t>〕1</w:t>
      </w:r>
      <w:r>
        <w:rPr>
          <w:rFonts w:hint="eastAsia" w:ascii="仿宋" w:hAnsi="仿宋" w:eastAsia="仿宋" w:cs="仿宋"/>
          <w:sz w:val="28"/>
          <w:szCs w:val="28"/>
          <w:highlight w:val="none"/>
          <w:lang w:val="en-US" w:eastAsia="zh-CN"/>
        </w:rPr>
        <w:t>61</w:t>
      </w:r>
      <w:r>
        <w:rPr>
          <w:rFonts w:hint="eastAsia" w:ascii="仿宋" w:hAnsi="仿宋" w:eastAsia="仿宋" w:cs="仿宋"/>
          <w:sz w:val="28"/>
          <w:szCs w:val="28"/>
          <w:highlight w:val="none"/>
        </w:rPr>
        <w:t>号</w:t>
      </w:r>
      <w:r>
        <w:rPr>
          <w:rFonts w:hint="eastAsia" w:ascii="仿宋" w:hAnsi="仿宋" w:eastAsia="仿宋" w:cs="仿宋"/>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lang w:val="en-US" w:eastAsia="zh-CN"/>
        </w:rPr>
        <w:t>（10）</w:t>
      </w:r>
      <w:r>
        <w:rPr>
          <w:rFonts w:hint="eastAsia" w:ascii="仿宋" w:hAnsi="仿宋" w:eastAsia="仿宋" w:cs="仿宋"/>
          <w:sz w:val="28"/>
          <w:szCs w:val="28"/>
          <w:highlight w:val="none"/>
        </w:rPr>
        <w:t>其他有关的法律、法规规章、政策文件</w:t>
      </w:r>
    </w:p>
    <w:p>
      <w:pPr>
        <w:keepNext w:val="0"/>
        <w:keepLines w:val="0"/>
        <w:pageBreakBefore w:val="0"/>
        <w:widowControl w:val="0"/>
        <w:kinsoku/>
        <w:wordWrap/>
        <w:overflowPunct/>
        <w:topLinePunct w:val="0"/>
        <w:autoSpaceDE/>
        <w:autoSpaceDN/>
        <w:bidi w:val="0"/>
        <w:adjustRightInd/>
        <w:snapToGrid/>
        <w:spacing w:line="580" w:lineRule="exact"/>
        <w:ind w:firstLine="691"/>
        <w:textAlignment w:val="auto"/>
        <w:outlineLvl w:val="1"/>
        <w:rPr>
          <w:rFonts w:hint="eastAsia" w:ascii="仿宋" w:hAnsi="仿宋" w:eastAsia="仿宋" w:cs="仿宋"/>
          <w:b/>
          <w:sz w:val="28"/>
          <w:szCs w:val="28"/>
          <w:highlight w:val="none"/>
          <w:lang w:eastAsia="zh-CN"/>
        </w:rPr>
      </w:pPr>
      <w:bookmarkStart w:id="33" w:name="_Toc69"/>
      <w:r>
        <w:rPr>
          <w:rFonts w:hint="eastAsia" w:ascii="仿宋" w:hAnsi="仿宋" w:eastAsia="仿宋" w:cs="仿宋"/>
          <w:b/>
          <w:sz w:val="28"/>
          <w:szCs w:val="28"/>
          <w:highlight w:val="none"/>
          <w:lang w:eastAsia="zh-CN"/>
        </w:rPr>
        <w:t>（二）绩效评价的对象和范围</w:t>
      </w:r>
      <w:bookmarkEnd w:id="27"/>
      <w:bookmarkEnd w:id="28"/>
      <w:bookmarkEnd w:id="29"/>
      <w:bookmarkEnd w:id="30"/>
      <w:bookmarkEnd w:id="31"/>
      <w:bookmarkEnd w:id="32"/>
      <w:bookmarkEnd w:id="33"/>
    </w:p>
    <w:p>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outlineLvl w:val="9"/>
        <w:rPr>
          <w:rFonts w:hint="eastAsia" w:ascii="仿宋" w:hAnsi="仿宋" w:eastAsia="仿宋" w:cs="仿宋"/>
          <w:b/>
          <w:bCs/>
          <w:sz w:val="28"/>
          <w:szCs w:val="28"/>
          <w:highlight w:val="none"/>
        </w:rPr>
      </w:pPr>
      <w:bookmarkStart w:id="34" w:name="_Toc7923"/>
      <w:r>
        <w:rPr>
          <w:rFonts w:hint="eastAsia" w:ascii="仿宋" w:hAnsi="仿宋" w:eastAsia="仿宋" w:cs="仿宋"/>
          <w:b/>
          <w:bCs/>
          <w:sz w:val="28"/>
          <w:szCs w:val="28"/>
          <w:highlight w:val="none"/>
        </w:rPr>
        <w:t>1</w:t>
      </w:r>
      <w:r>
        <w:rPr>
          <w:rFonts w:hint="eastAsia" w:ascii="仿宋" w:hAnsi="仿宋" w:eastAsia="仿宋" w:cs="仿宋"/>
          <w:b/>
          <w:bCs/>
          <w:sz w:val="28"/>
          <w:szCs w:val="28"/>
          <w:highlight w:val="none"/>
          <w:lang w:val="en-US" w:eastAsia="zh-CN"/>
        </w:rPr>
        <w:t>.</w:t>
      </w:r>
      <w:r>
        <w:rPr>
          <w:rFonts w:hint="eastAsia" w:ascii="仿宋" w:hAnsi="仿宋" w:eastAsia="仿宋" w:cs="仿宋"/>
          <w:b/>
          <w:bCs/>
          <w:sz w:val="28"/>
          <w:szCs w:val="28"/>
          <w:highlight w:val="none"/>
        </w:rPr>
        <w:t>绩效评价对象</w:t>
      </w:r>
      <w:bookmarkEnd w:id="34"/>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eastAsia="仿宋"/>
          <w:sz w:val="28"/>
          <w:szCs w:val="28"/>
          <w:highlight w:val="none"/>
          <w:lang w:eastAsia="zh-CN"/>
        </w:rPr>
      </w:pPr>
      <w:r>
        <w:rPr>
          <w:rFonts w:hint="eastAsia" w:ascii="仿宋" w:hAnsi="仿宋" w:eastAsia="仿宋" w:cs="仿宋"/>
          <w:sz w:val="28"/>
          <w:szCs w:val="28"/>
          <w:highlight w:val="none"/>
        </w:rPr>
        <w:t>本次绩效评价对象为</w:t>
      </w:r>
      <w:r>
        <w:rPr>
          <w:rFonts w:hint="eastAsia" w:ascii="仿宋" w:hAnsi="仿宋" w:eastAsia="仿宋" w:cs="仿宋"/>
          <w:sz w:val="28"/>
          <w:szCs w:val="28"/>
          <w:highlight w:val="none"/>
          <w:lang w:val="en-US" w:eastAsia="zh-CN"/>
        </w:rPr>
        <w:t>临猗县老干部局2020年度</w:t>
      </w:r>
      <w:r>
        <w:rPr>
          <w:rFonts w:hint="eastAsia" w:ascii="仿宋" w:hAnsi="仿宋" w:eastAsia="仿宋" w:cs="仿宋"/>
          <w:sz w:val="28"/>
          <w:szCs w:val="28"/>
          <w:highlight w:val="none"/>
        </w:rPr>
        <w:t>整体支出</w:t>
      </w:r>
      <w:r>
        <w:rPr>
          <w:rFonts w:hint="eastAsia" w:ascii="仿宋" w:hAnsi="仿宋" w:eastAsia="仿宋" w:cs="仿宋"/>
          <w:sz w:val="28"/>
          <w:szCs w:val="28"/>
          <w:highlight w:val="none"/>
          <w:lang w:eastAsia="zh-CN"/>
        </w:rPr>
        <w:t>，金额</w:t>
      </w:r>
      <w:r>
        <w:rPr>
          <w:rFonts w:hint="eastAsia" w:ascii="仿宋" w:hAnsi="仿宋" w:eastAsia="仿宋" w:cs="仿宋"/>
          <w:sz w:val="28"/>
          <w:szCs w:val="28"/>
          <w:highlight w:val="none"/>
          <w:lang w:val="en-US" w:eastAsia="zh-CN"/>
        </w:rPr>
        <w:t>2,602,076.83</w:t>
      </w:r>
      <w:r>
        <w:rPr>
          <w:rFonts w:hint="eastAsia" w:ascii="仿宋" w:hAnsi="仿宋" w:eastAsia="仿宋" w:cs="仿宋"/>
          <w:sz w:val="28"/>
          <w:szCs w:val="28"/>
          <w:highlight w:val="none"/>
        </w:rPr>
        <w:t>元</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其中：基本支出</w:t>
      </w:r>
      <w:r>
        <w:rPr>
          <w:rFonts w:hint="eastAsia" w:ascii="仿宋" w:hAnsi="仿宋" w:eastAsia="仿宋" w:cs="仿宋"/>
          <w:sz w:val="28"/>
          <w:szCs w:val="28"/>
          <w:highlight w:val="none"/>
          <w:lang w:val="en-US" w:eastAsia="zh-CN"/>
        </w:rPr>
        <w:t>1,276,062.43</w:t>
      </w:r>
      <w:r>
        <w:rPr>
          <w:rFonts w:hint="eastAsia" w:ascii="仿宋" w:hAnsi="仿宋" w:eastAsia="仿宋" w:cs="仿宋"/>
          <w:sz w:val="28"/>
          <w:szCs w:val="28"/>
          <w:highlight w:val="none"/>
        </w:rPr>
        <w:t>元</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rPr>
        <w:t>项目支出</w:t>
      </w:r>
      <w:r>
        <w:rPr>
          <w:rFonts w:hint="eastAsia" w:ascii="仿宋" w:hAnsi="仿宋" w:eastAsia="仿宋" w:cs="仿宋"/>
          <w:sz w:val="28"/>
          <w:szCs w:val="28"/>
          <w:highlight w:val="none"/>
          <w:lang w:val="en-US" w:eastAsia="zh-CN"/>
        </w:rPr>
        <w:t>1,326,014.40元</w:t>
      </w:r>
      <w:r>
        <w:rPr>
          <w:rFonts w:hint="eastAsia" w:ascii="仿宋" w:hAnsi="仿宋" w:eastAsia="仿宋" w:cs="仿宋"/>
          <w:sz w:val="28"/>
          <w:szCs w:val="28"/>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2" w:firstLineChars="200"/>
        <w:textAlignment w:val="auto"/>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val="en-US" w:eastAsia="zh-CN"/>
        </w:rPr>
        <w:t>2.</w:t>
      </w:r>
      <w:r>
        <w:rPr>
          <w:rFonts w:hint="eastAsia" w:ascii="仿宋" w:hAnsi="仿宋" w:eastAsia="仿宋" w:cs="仿宋"/>
          <w:b/>
          <w:bCs/>
          <w:sz w:val="28"/>
          <w:szCs w:val="28"/>
          <w:highlight w:val="none"/>
        </w:rPr>
        <w:t>绩效评价范围</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在获取临猗县老干部局整体支出目标设定、预算配置、预算执行及管理、资产管理、基本职责履行情况及效益、相关项目实施情况及后期运行情况等基本资料的基础上，通过对所收集相关资料的分析，结合相关政策文件，利用指标体系对临猗县老干部局整体支出资金进行绩效评价。</w:t>
      </w:r>
    </w:p>
    <w:p>
      <w:pPr>
        <w:keepNext w:val="0"/>
        <w:keepLines w:val="0"/>
        <w:pageBreakBefore w:val="0"/>
        <w:widowControl w:val="0"/>
        <w:kinsoku/>
        <w:wordWrap/>
        <w:overflowPunct/>
        <w:topLinePunct w:val="0"/>
        <w:autoSpaceDE/>
        <w:autoSpaceDN/>
        <w:bidi w:val="0"/>
        <w:adjustRightInd/>
        <w:snapToGrid/>
        <w:spacing w:line="580" w:lineRule="exact"/>
        <w:ind w:firstLine="560"/>
        <w:textAlignment w:val="auto"/>
        <w:outlineLvl w:val="1"/>
        <w:rPr>
          <w:rFonts w:ascii="仿宋" w:hAnsi="仿宋" w:eastAsia="仿宋" w:cs="仿宋"/>
          <w:b w:val="0"/>
          <w:bCs w:val="0"/>
          <w:sz w:val="28"/>
          <w:szCs w:val="28"/>
          <w:highlight w:val="none"/>
        </w:rPr>
      </w:pPr>
      <w:bookmarkStart w:id="35" w:name="_Toc7670"/>
      <w:bookmarkStart w:id="36" w:name="_Toc28224"/>
      <w:r>
        <w:rPr>
          <w:rFonts w:hint="eastAsia" w:ascii="仿宋" w:hAnsi="仿宋" w:eastAsia="仿宋" w:cs="仿宋"/>
          <w:b/>
          <w:bCs/>
          <w:sz w:val="28"/>
          <w:szCs w:val="28"/>
          <w:highlight w:val="none"/>
        </w:rPr>
        <w:t>（</w:t>
      </w:r>
      <w:r>
        <w:rPr>
          <w:rFonts w:hint="eastAsia" w:ascii="仿宋" w:hAnsi="仿宋" w:eastAsia="仿宋" w:cs="仿宋"/>
          <w:b/>
          <w:bCs/>
          <w:sz w:val="28"/>
          <w:szCs w:val="28"/>
          <w:highlight w:val="none"/>
          <w:lang w:eastAsia="zh-CN"/>
        </w:rPr>
        <w:t>三</w:t>
      </w:r>
      <w:r>
        <w:rPr>
          <w:rFonts w:hint="eastAsia" w:ascii="仿宋" w:hAnsi="仿宋" w:eastAsia="仿宋" w:cs="仿宋"/>
          <w:b/>
          <w:bCs/>
          <w:sz w:val="28"/>
          <w:szCs w:val="28"/>
          <w:highlight w:val="none"/>
        </w:rPr>
        <w:t>）绩效评价原则</w:t>
      </w:r>
      <w:bookmarkEnd w:id="35"/>
      <w:bookmarkEnd w:id="36"/>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1.独立原则。我们在</w:t>
      </w:r>
      <w:r>
        <w:rPr>
          <w:rFonts w:hint="eastAsia" w:ascii="仿宋" w:hAnsi="仿宋" w:eastAsia="仿宋" w:cs="仿宋"/>
          <w:sz w:val="28"/>
          <w:szCs w:val="28"/>
          <w:highlight w:val="none"/>
        </w:rPr>
        <w:t>绩效评价</w:t>
      </w:r>
      <w:r>
        <w:rPr>
          <w:rFonts w:hint="eastAsia" w:ascii="仿宋" w:hAnsi="仿宋" w:eastAsia="仿宋" w:cs="仿宋"/>
          <w:sz w:val="28"/>
          <w:szCs w:val="28"/>
          <w:highlight w:val="none"/>
          <w:lang w:val="en-US" w:eastAsia="zh-CN"/>
        </w:rPr>
        <w:t>时</w:t>
      </w:r>
      <w:r>
        <w:rPr>
          <w:rFonts w:hint="eastAsia" w:ascii="仿宋" w:hAnsi="仿宋" w:eastAsia="仿宋" w:cs="仿宋"/>
          <w:kern w:val="2"/>
          <w:sz w:val="28"/>
          <w:szCs w:val="28"/>
          <w:lang w:val="en-US" w:eastAsia="zh-CN" w:bidi="ar-SA"/>
        </w:rPr>
        <w:t>保证在委托方和被评价对象提供工作便利条件和相关资料情况下独立完成委托事项。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2.客观原则。我们在</w:t>
      </w:r>
      <w:r>
        <w:rPr>
          <w:rFonts w:hint="eastAsia" w:ascii="仿宋" w:hAnsi="仿宋" w:eastAsia="仿宋" w:cs="仿宋"/>
          <w:sz w:val="28"/>
          <w:szCs w:val="28"/>
          <w:highlight w:val="none"/>
        </w:rPr>
        <w:t>绩效评价</w:t>
      </w:r>
      <w:r>
        <w:rPr>
          <w:rFonts w:hint="eastAsia" w:ascii="仿宋" w:hAnsi="仿宋" w:eastAsia="仿宋" w:cs="仿宋"/>
          <w:sz w:val="28"/>
          <w:szCs w:val="28"/>
          <w:highlight w:val="none"/>
          <w:lang w:val="en-US" w:eastAsia="zh-CN"/>
        </w:rPr>
        <w:t>时</w:t>
      </w:r>
      <w:r>
        <w:rPr>
          <w:rFonts w:hint="eastAsia" w:ascii="仿宋" w:hAnsi="仿宋" w:eastAsia="仿宋" w:cs="仿宋"/>
          <w:kern w:val="2"/>
          <w:sz w:val="28"/>
          <w:szCs w:val="28"/>
          <w:lang w:val="en-US" w:eastAsia="zh-CN" w:bidi="ar-SA"/>
        </w:rPr>
        <w:t>保证按照协议(合同)约定事项客观公正、实事求是地开展预算绩效评价，不出具不实预算绩效评价报告。</w:t>
      </w:r>
    </w:p>
    <w:p>
      <w:pPr>
        <w:spacing w:line="560" w:lineRule="exact"/>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kern w:val="2"/>
          <w:sz w:val="28"/>
          <w:szCs w:val="28"/>
          <w:lang w:val="en-US" w:eastAsia="zh-CN" w:bidi="ar-SA"/>
        </w:rPr>
        <w:t>3.规范原则。我们在</w:t>
      </w:r>
      <w:r>
        <w:rPr>
          <w:rFonts w:hint="eastAsia" w:ascii="仿宋" w:hAnsi="仿宋" w:eastAsia="仿宋" w:cs="仿宋"/>
          <w:sz w:val="28"/>
          <w:szCs w:val="28"/>
          <w:highlight w:val="none"/>
        </w:rPr>
        <w:t>绩效评价</w:t>
      </w:r>
      <w:r>
        <w:rPr>
          <w:rFonts w:hint="eastAsia" w:ascii="仿宋" w:hAnsi="仿宋" w:eastAsia="仿宋" w:cs="仿宋"/>
          <w:sz w:val="28"/>
          <w:szCs w:val="28"/>
          <w:highlight w:val="none"/>
          <w:lang w:val="en-US" w:eastAsia="zh-CN"/>
        </w:rPr>
        <w:t>时</w:t>
      </w:r>
      <w:r>
        <w:rPr>
          <w:rFonts w:hint="eastAsia" w:ascii="仿宋" w:hAnsi="仿宋" w:eastAsia="仿宋" w:cs="仿宋"/>
          <w:kern w:val="2"/>
          <w:sz w:val="28"/>
          <w:szCs w:val="28"/>
          <w:lang w:val="en-US" w:eastAsia="zh-CN" w:bidi="ar-SA"/>
        </w:rPr>
        <w:t>保证履行必要评价程序，合理选取具有代表性的样本，对原始资料进行必要的核查验证，形成结论并出具预算绩效评价报告</w:t>
      </w:r>
      <w:r>
        <w:rPr>
          <w:rFonts w:hint="eastAsia" w:ascii="仿宋" w:hAnsi="仿宋" w:eastAsia="仿宋" w:cs="仿宋"/>
          <w:sz w:val="28"/>
          <w:szCs w:val="28"/>
          <w:highlight w:val="none"/>
        </w:rPr>
        <w:t>。</w:t>
      </w:r>
      <w:r>
        <w:rPr>
          <w:rFonts w:hint="eastAsia" w:ascii="仿宋" w:hAnsi="仿宋" w:eastAsia="仿宋" w:cs="仿宋"/>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 w:hAnsi="仿宋" w:eastAsia="仿宋" w:cs="仿宋"/>
          <w:b w:val="0"/>
          <w:bCs/>
          <w:sz w:val="28"/>
          <w:szCs w:val="28"/>
          <w:highlight w:val="none"/>
          <w:lang w:eastAsia="zh-CN"/>
        </w:rPr>
      </w:pPr>
      <w:r>
        <w:rPr>
          <w:rFonts w:hint="eastAsia" w:ascii="仿宋" w:hAnsi="仿宋" w:eastAsia="仿宋" w:cs="仿宋"/>
          <w:sz w:val="28"/>
          <w:szCs w:val="28"/>
          <w:highlight w:val="none"/>
          <w:lang w:val="en-US" w:eastAsia="zh-CN"/>
        </w:rPr>
        <w:t xml:space="preserve"> </w:t>
      </w:r>
      <w:bookmarkStart w:id="37" w:name="_Toc30027_WPSOffice_Level2"/>
      <w:bookmarkStart w:id="38" w:name="_Toc4043_WPSOffice_Level2"/>
      <w:bookmarkStart w:id="39" w:name="_Toc32137"/>
      <w:bookmarkStart w:id="40" w:name="_Toc12523"/>
      <w:bookmarkStart w:id="41" w:name="_Toc10410_WPSOffice_Level2"/>
      <w:r>
        <w:rPr>
          <w:rFonts w:hint="eastAsia" w:ascii="仿宋" w:hAnsi="仿宋" w:eastAsia="仿宋" w:cs="仿宋"/>
          <w:b/>
          <w:bCs w:val="0"/>
          <w:sz w:val="28"/>
          <w:szCs w:val="28"/>
          <w:highlight w:val="none"/>
          <w:lang w:eastAsia="zh-CN"/>
        </w:rPr>
        <w:t>（四）绩效评价的方法</w:t>
      </w:r>
      <w:bookmarkEnd w:id="37"/>
      <w:bookmarkEnd w:id="38"/>
      <w:bookmarkEnd w:id="39"/>
      <w:bookmarkEnd w:id="40"/>
      <w:bookmarkEnd w:id="41"/>
    </w:p>
    <w:p>
      <w:pPr>
        <w:keepNext w:val="0"/>
        <w:keepLines w:val="0"/>
        <w:pageBreakBefore w:val="0"/>
        <w:kinsoku/>
        <w:wordWrap/>
        <w:overflowPunct/>
        <w:topLinePunct w:val="0"/>
        <w:autoSpaceDE/>
        <w:autoSpaceDN/>
        <w:bidi w:val="0"/>
        <w:adjustRightInd/>
        <w:spacing w:line="60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1.比较分析法：</w:t>
      </w:r>
      <w:r>
        <w:rPr>
          <w:rFonts w:hint="eastAsia" w:ascii="仿宋" w:hAnsi="仿宋" w:eastAsia="仿宋" w:cs="仿宋"/>
          <w:kern w:val="0"/>
          <w:sz w:val="28"/>
          <w:szCs w:val="28"/>
          <w:highlight w:val="none"/>
          <w:lang w:val="en-US" w:eastAsia="zh-CN"/>
        </w:rPr>
        <w:t>依据临猗县财政局下达的年度预算，对照部门实际支出情况，比较实际支出内容与预算批复内容的差异，深入分析原因；依据相关政策文件，评价整体支出是否按照规定执行；依据资金预算文件和会计凭证，评价资金到位及使用情况；结合预算支出确定的目标，将整体支出绩效目标与支出实际效果对比，分析判断整体支出目标的实现情况；将整体支出预期收益与实施效益数据对比，结合问卷调查情况，评价部门整体支出效益实现程度。</w:t>
      </w:r>
    </w:p>
    <w:p>
      <w:pPr>
        <w:keepNext w:val="0"/>
        <w:keepLines w:val="0"/>
        <w:pageBreakBefore w:val="0"/>
        <w:kinsoku/>
        <w:wordWrap/>
        <w:overflowPunct/>
        <w:topLinePunct w:val="0"/>
        <w:autoSpaceDE/>
        <w:autoSpaceDN/>
        <w:bidi w:val="0"/>
        <w:adjustRightInd/>
        <w:spacing w:line="60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2.因素分析法：</w:t>
      </w:r>
      <w:r>
        <w:rPr>
          <w:rFonts w:hint="eastAsia" w:ascii="仿宋" w:hAnsi="仿宋" w:eastAsia="仿宋" w:cs="仿宋"/>
          <w:kern w:val="0"/>
          <w:sz w:val="28"/>
          <w:szCs w:val="28"/>
          <w:highlight w:val="none"/>
          <w:lang w:val="en-US" w:eastAsia="zh-CN"/>
        </w:rPr>
        <w:t>是指通过综合分析影响绩效目标实现、实施效果的内外因素，计算投入产出比的方法。</w:t>
      </w:r>
    </w:p>
    <w:p>
      <w:pPr>
        <w:keepNext w:val="0"/>
        <w:keepLines w:val="0"/>
        <w:pageBreakBefore w:val="0"/>
        <w:kinsoku/>
        <w:wordWrap/>
        <w:overflowPunct/>
        <w:topLinePunct w:val="0"/>
        <w:autoSpaceDE/>
        <w:autoSpaceDN/>
        <w:bidi w:val="0"/>
        <w:adjustRightInd/>
        <w:spacing w:line="60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3.综合指数评价法：</w:t>
      </w:r>
      <w:r>
        <w:rPr>
          <w:rFonts w:hint="eastAsia" w:ascii="仿宋" w:hAnsi="仿宋" w:eastAsia="仿宋" w:cs="仿宋"/>
          <w:kern w:val="0"/>
          <w:sz w:val="28"/>
          <w:szCs w:val="28"/>
          <w:highlight w:val="none"/>
          <w:lang w:val="en-US" w:eastAsia="zh-CN"/>
        </w:rPr>
        <w:t>结合</w:t>
      </w:r>
      <w:r>
        <w:rPr>
          <w:rFonts w:hint="eastAsia" w:ascii="仿宋" w:hAnsi="仿宋" w:eastAsia="仿宋" w:cs="仿宋"/>
          <w:sz w:val="28"/>
          <w:szCs w:val="28"/>
          <w:highlight w:val="none"/>
          <w:lang w:val="en-US" w:eastAsia="zh-CN"/>
        </w:rPr>
        <w:t>临猗县老干部局</w:t>
      </w:r>
      <w:r>
        <w:rPr>
          <w:rFonts w:hint="eastAsia" w:ascii="仿宋" w:hAnsi="仿宋" w:eastAsia="仿宋" w:cs="仿宋"/>
          <w:kern w:val="0"/>
          <w:sz w:val="28"/>
          <w:szCs w:val="28"/>
          <w:highlight w:val="none"/>
          <w:lang w:val="en-US" w:eastAsia="zh-CN"/>
        </w:rPr>
        <w:t xml:space="preserve">的基本情况，搜集整理国家及省市县出台的相关政策法规，包括基本背景、审批事项流程等方面，制定科学合理的评价指标体系及评价标准。然后根据各项绩效指标的实际水平，对照评价标准值，分别计算各项指标评价得分，再按照设定的各项指标权数计算出综合评价得分，分析评价绩效目标实现情况的评价方法。 </w:t>
      </w:r>
    </w:p>
    <w:p>
      <w:pPr>
        <w:keepNext w:val="0"/>
        <w:keepLines w:val="0"/>
        <w:pageBreakBefore w:val="0"/>
        <w:kinsoku/>
        <w:wordWrap/>
        <w:overflowPunct/>
        <w:topLinePunct w:val="0"/>
        <w:autoSpaceDE/>
        <w:autoSpaceDN/>
        <w:bidi w:val="0"/>
        <w:adjustRightInd/>
        <w:spacing w:line="600" w:lineRule="exact"/>
        <w:ind w:firstLine="560" w:firstLineChars="200"/>
        <w:textAlignment w:val="auto"/>
        <w:rPr>
          <w:rFonts w:hint="eastAsia" w:ascii="仿宋" w:hAnsi="仿宋" w:eastAsia="仿宋" w:cs="仿宋"/>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4.公众评判法：</w:t>
      </w:r>
      <w:r>
        <w:rPr>
          <w:rFonts w:hint="eastAsia" w:ascii="仿宋" w:hAnsi="仿宋" w:eastAsia="仿宋" w:cs="仿宋"/>
          <w:kern w:val="0"/>
          <w:sz w:val="28"/>
          <w:szCs w:val="28"/>
          <w:highlight w:val="none"/>
          <w:lang w:val="en-US" w:eastAsia="zh-CN"/>
        </w:rPr>
        <w:t>通过现场调查、访谈、问卷调查等方式，着重对产出、效果、满意度情况进行详细了解，获取定性与定量评价依据。</w:t>
      </w:r>
    </w:p>
    <w:p>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outlineLvl w:val="1"/>
        <w:rPr>
          <w:rFonts w:ascii="仿宋" w:hAnsi="仿宋" w:eastAsia="仿宋" w:cs="仿宋"/>
          <w:b/>
          <w:bCs/>
          <w:sz w:val="28"/>
          <w:szCs w:val="28"/>
          <w:highlight w:val="none"/>
        </w:rPr>
      </w:pPr>
      <w:bookmarkStart w:id="42" w:name="_Toc5235"/>
      <w:bookmarkStart w:id="43" w:name="_Toc380"/>
      <w:bookmarkStart w:id="44" w:name="_Toc30579_WPSOffice_Level2"/>
      <w:r>
        <w:rPr>
          <w:rFonts w:hint="eastAsia" w:ascii="仿宋" w:hAnsi="仿宋" w:eastAsia="仿宋" w:cs="仿宋"/>
          <w:b/>
          <w:bCs/>
          <w:sz w:val="28"/>
          <w:szCs w:val="28"/>
          <w:highlight w:val="none"/>
        </w:rPr>
        <w:t>（</w:t>
      </w:r>
      <w:r>
        <w:rPr>
          <w:rFonts w:hint="eastAsia" w:ascii="仿宋" w:hAnsi="仿宋" w:eastAsia="仿宋" w:cs="仿宋"/>
          <w:b/>
          <w:bCs/>
          <w:sz w:val="28"/>
          <w:szCs w:val="28"/>
          <w:highlight w:val="none"/>
          <w:lang w:eastAsia="zh-CN"/>
        </w:rPr>
        <w:t>五</w:t>
      </w:r>
      <w:r>
        <w:rPr>
          <w:rFonts w:hint="eastAsia" w:ascii="仿宋" w:hAnsi="仿宋" w:eastAsia="仿宋" w:cs="仿宋"/>
          <w:b/>
          <w:bCs/>
          <w:sz w:val="28"/>
          <w:szCs w:val="28"/>
          <w:highlight w:val="none"/>
        </w:rPr>
        <w:t>）评价的组织及实施</w:t>
      </w:r>
      <w:bookmarkEnd w:id="42"/>
      <w:bookmarkEnd w:id="43"/>
      <w:bookmarkEnd w:id="44"/>
    </w:p>
    <w:p>
      <w:pPr>
        <w:spacing w:line="560" w:lineRule="exact"/>
        <w:ind w:firstLine="562" w:firstLineChars="200"/>
        <w:rPr>
          <w:rFonts w:ascii="仿宋" w:hAnsi="仿宋" w:eastAsia="仿宋" w:cs="仿宋"/>
          <w:b/>
          <w:bCs/>
          <w:sz w:val="28"/>
          <w:szCs w:val="28"/>
          <w:highlight w:val="none"/>
        </w:rPr>
      </w:pPr>
      <w:bookmarkStart w:id="45" w:name="_Toc28969_WPSOffice_Level3"/>
      <w:bookmarkStart w:id="46" w:name="_Toc1830"/>
      <w:r>
        <w:rPr>
          <w:rFonts w:hint="eastAsia" w:ascii="仿宋" w:hAnsi="仿宋" w:eastAsia="仿宋" w:cs="仿宋"/>
          <w:b/>
          <w:bCs/>
          <w:sz w:val="28"/>
          <w:szCs w:val="28"/>
          <w:highlight w:val="none"/>
        </w:rPr>
        <w:t>1.人员分工</w:t>
      </w:r>
      <w:bookmarkEnd w:id="45"/>
    </w:p>
    <w:p>
      <w:pPr>
        <w:spacing w:line="56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根据</w:t>
      </w:r>
      <w:r>
        <w:rPr>
          <w:rFonts w:hint="eastAsia" w:ascii="仿宋" w:hAnsi="仿宋" w:eastAsia="仿宋" w:cs="仿宋"/>
          <w:sz w:val="28"/>
          <w:szCs w:val="28"/>
          <w:highlight w:val="none"/>
          <w:lang w:val="en-US" w:eastAsia="zh-CN"/>
        </w:rPr>
        <w:t>临猗县老干部局2020年度整体支出的</w:t>
      </w:r>
      <w:r>
        <w:rPr>
          <w:rFonts w:hint="eastAsia" w:ascii="仿宋" w:hAnsi="仿宋" w:eastAsia="仿宋" w:cs="仿宋"/>
          <w:sz w:val="28"/>
          <w:szCs w:val="28"/>
          <w:highlight w:val="none"/>
        </w:rPr>
        <w:t>情况，成立绩效评价工作组。</w:t>
      </w:r>
    </w:p>
    <w:p>
      <w:pPr>
        <w:spacing w:line="5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本次绩效评价工作组成员名单见表</w:t>
      </w:r>
      <w:r>
        <w:rPr>
          <w:rFonts w:hint="eastAsia" w:ascii="仿宋" w:hAnsi="仿宋" w:eastAsia="仿宋" w:cs="仿宋"/>
          <w:sz w:val="28"/>
          <w:szCs w:val="28"/>
          <w:highlight w:val="none"/>
          <w:lang w:val="en-US" w:eastAsia="zh-CN"/>
        </w:rPr>
        <w:t>2</w:t>
      </w:r>
      <w:r>
        <w:rPr>
          <w:rFonts w:hint="eastAsia" w:ascii="仿宋" w:hAnsi="仿宋" w:eastAsia="仿宋" w:cs="仿宋"/>
          <w:sz w:val="28"/>
          <w:szCs w:val="28"/>
          <w:highlight w:val="none"/>
        </w:rPr>
        <w:t>：</w:t>
      </w:r>
    </w:p>
    <w:p>
      <w:pPr>
        <w:pStyle w:val="2"/>
        <w:jc w:val="center"/>
        <w:rPr>
          <w:rFonts w:hint="default"/>
          <w:highlight w:val="none"/>
          <w:lang w:val="en-US"/>
        </w:rPr>
      </w:pPr>
      <w:r>
        <w:rPr>
          <w:rFonts w:hint="eastAsia" w:ascii="仿宋" w:hAnsi="仿宋" w:eastAsia="仿宋" w:cs="仿宋"/>
          <w:b w:val="0"/>
          <w:bCs w:val="0"/>
          <w:color w:val="000000"/>
          <w:kern w:val="0"/>
          <w:sz w:val="28"/>
          <w:szCs w:val="28"/>
          <w:highlight w:val="none"/>
          <w:shd w:val="clear" w:color="auto" w:fill="FFFFFF"/>
          <w:lang w:val="en-US" w:eastAsia="zh-CN"/>
        </w:rPr>
        <w:t>表2：评价组成员分工表</w:t>
      </w:r>
    </w:p>
    <w:tbl>
      <w:tblPr>
        <w:tblStyle w:val="7"/>
        <w:tblW w:w="8880" w:type="dxa"/>
        <w:tblInd w:w="108" w:type="dxa"/>
        <w:tblLayout w:type="fixed"/>
        <w:tblCellMar>
          <w:top w:w="0" w:type="dxa"/>
          <w:left w:w="108" w:type="dxa"/>
          <w:bottom w:w="0" w:type="dxa"/>
          <w:right w:w="108" w:type="dxa"/>
        </w:tblCellMar>
      </w:tblPr>
      <w:tblGrid>
        <w:gridCol w:w="851"/>
        <w:gridCol w:w="992"/>
        <w:gridCol w:w="1323"/>
        <w:gridCol w:w="1512"/>
        <w:gridCol w:w="4202"/>
      </w:tblGrid>
      <w:tr>
        <w:tblPrEx>
          <w:tblCellMar>
            <w:top w:w="0" w:type="dxa"/>
            <w:left w:w="108" w:type="dxa"/>
            <w:bottom w:w="0" w:type="dxa"/>
            <w:right w:w="108" w:type="dxa"/>
          </w:tblCellMar>
        </w:tblPrEx>
        <w:trPr>
          <w:trHeight w:val="680" w:hRule="atLeast"/>
          <w:tblHeader/>
        </w:trPr>
        <w:tc>
          <w:tcPr>
            <w:tcW w:w="851" w:type="dxa"/>
            <w:tcBorders>
              <w:top w:val="single" w:color="000000" w:sz="6" w:space="0"/>
              <w:left w:val="single" w:color="000000" w:sz="6" w:space="0"/>
              <w:bottom w:val="single" w:color="000000" w:sz="6" w:space="0"/>
              <w:right w:val="single" w:color="000000" w:sz="6" w:space="0"/>
            </w:tcBorders>
            <w:shd w:val="clear" w:color="auto" w:fill="BEBEBE" w:themeFill="background1" w:themeFillShade="BF"/>
            <w:vAlign w:val="center"/>
          </w:tcPr>
          <w:p>
            <w:pPr>
              <w:widowControl/>
              <w:jc w:val="center"/>
              <w:rPr>
                <w:rFonts w:ascii="仿宋" w:hAnsi="仿宋" w:eastAsia="仿宋" w:cs="宋体"/>
                <w:b/>
                <w:bCs/>
                <w:kern w:val="0"/>
                <w:sz w:val="22"/>
                <w:szCs w:val="22"/>
                <w:highlight w:val="none"/>
              </w:rPr>
            </w:pPr>
            <w:r>
              <w:rPr>
                <w:rFonts w:hint="eastAsia" w:ascii="仿宋" w:hAnsi="仿宋" w:eastAsia="仿宋" w:cs="宋体"/>
                <w:b/>
                <w:bCs/>
                <w:kern w:val="0"/>
                <w:sz w:val="22"/>
                <w:szCs w:val="22"/>
                <w:highlight w:val="none"/>
              </w:rPr>
              <w:t>序号</w:t>
            </w:r>
          </w:p>
        </w:tc>
        <w:tc>
          <w:tcPr>
            <w:tcW w:w="992" w:type="dxa"/>
            <w:tcBorders>
              <w:top w:val="single" w:color="000000" w:sz="6" w:space="0"/>
              <w:left w:val="single" w:color="000000" w:sz="6" w:space="0"/>
              <w:bottom w:val="single" w:color="000000" w:sz="6" w:space="0"/>
              <w:right w:val="single" w:color="000000" w:sz="6" w:space="0"/>
            </w:tcBorders>
            <w:shd w:val="clear" w:color="auto" w:fill="BEBEBE" w:themeFill="background1" w:themeFillShade="BF"/>
            <w:vAlign w:val="center"/>
          </w:tcPr>
          <w:p>
            <w:pPr>
              <w:widowControl/>
              <w:jc w:val="center"/>
              <w:rPr>
                <w:rFonts w:ascii="仿宋" w:hAnsi="仿宋" w:eastAsia="仿宋" w:cs="宋体"/>
                <w:b/>
                <w:bCs/>
                <w:kern w:val="0"/>
                <w:sz w:val="22"/>
                <w:szCs w:val="22"/>
                <w:highlight w:val="none"/>
              </w:rPr>
            </w:pPr>
            <w:r>
              <w:rPr>
                <w:rFonts w:hint="eastAsia" w:ascii="仿宋" w:hAnsi="仿宋" w:eastAsia="仿宋" w:cs="宋体"/>
                <w:b/>
                <w:bCs/>
                <w:kern w:val="0"/>
                <w:sz w:val="22"/>
                <w:szCs w:val="22"/>
                <w:highlight w:val="none"/>
              </w:rPr>
              <w:t>姓  名</w:t>
            </w:r>
          </w:p>
        </w:tc>
        <w:tc>
          <w:tcPr>
            <w:tcW w:w="1323" w:type="dxa"/>
            <w:tcBorders>
              <w:top w:val="single" w:color="000000" w:sz="6" w:space="0"/>
              <w:left w:val="single" w:color="000000" w:sz="6" w:space="0"/>
              <w:bottom w:val="single" w:color="000000" w:sz="6" w:space="0"/>
              <w:right w:val="single" w:color="000000" w:sz="6" w:space="0"/>
            </w:tcBorders>
            <w:shd w:val="clear" w:color="auto" w:fill="BEBEBE" w:themeFill="background1" w:themeFillShade="BF"/>
            <w:vAlign w:val="center"/>
          </w:tcPr>
          <w:p>
            <w:pPr>
              <w:widowControl/>
              <w:jc w:val="center"/>
              <w:rPr>
                <w:rFonts w:ascii="仿宋" w:hAnsi="仿宋" w:eastAsia="仿宋" w:cs="宋体"/>
                <w:b/>
                <w:bCs/>
                <w:kern w:val="0"/>
                <w:sz w:val="22"/>
                <w:szCs w:val="22"/>
                <w:highlight w:val="none"/>
              </w:rPr>
            </w:pPr>
            <w:r>
              <w:rPr>
                <w:rFonts w:hint="eastAsia" w:ascii="仿宋" w:hAnsi="仿宋" w:eastAsia="仿宋" w:cs="宋体"/>
                <w:b/>
                <w:bCs/>
                <w:kern w:val="0"/>
                <w:sz w:val="22"/>
                <w:szCs w:val="22"/>
                <w:highlight w:val="none"/>
              </w:rPr>
              <w:t>在本项目中担任职责</w:t>
            </w:r>
          </w:p>
        </w:tc>
        <w:tc>
          <w:tcPr>
            <w:tcW w:w="1512" w:type="dxa"/>
            <w:tcBorders>
              <w:top w:val="single" w:color="000000" w:sz="6" w:space="0"/>
              <w:left w:val="single" w:color="000000" w:sz="6" w:space="0"/>
              <w:bottom w:val="single" w:color="000000" w:sz="6" w:space="0"/>
              <w:right w:val="single" w:color="000000" w:sz="6" w:space="0"/>
            </w:tcBorders>
            <w:shd w:val="clear" w:color="auto" w:fill="BEBEBE" w:themeFill="background1" w:themeFillShade="BF"/>
            <w:vAlign w:val="center"/>
          </w:tcPr>
          <w:p>
            <w:pPr>
              <w:widowControl/>
              <w:jc w:val="center"/>
              <w:rPr>
                <w:rFonts w:ascii="仿宋" w:hAnsi="仿宋" w:eastAsia="仿宋" w:cs="宋体"/>
                <w:b/>
                <w:bCs/>
                <w:kern w:val="0"/>
                <w:sz w:val="22"/>
                <w:szCs w:val="22"/>
                <w:highlight w:val="none"/>
              </w:rPr>
            </w:pPr>
            <w:r>
              <w:rPr>
                <w:rFonts w:hint="eastAsia" w:ascii="仿宋" w:hAnsi="仿宋" w:eastAsia="仿宋" w:cs="宋体"/>
                <w:b/>
                <w:bCs/>
                <w:kern w:val="0"/>
                <w:sz w:val="22"/>
                <w:szCs w:val="22"/>
                <w:highlight w:val="none"/>
              </w:rPr>
              <w:t>技术职称</w:t>
            </w:r>
          </w:p>
        </w:tc>
        <w:tc>
          <w:tcPr>
            <w:tcW w:w="4202" w:type="dxa"/>
            <w:tcBorders>
              <w:top w:val="single" w:color="000000" w:sz="6" w:space="0"/>
              <w:left w:val="single" w:color="000000" w:sz="6" w:space="0"/>
              <w:bottom w:val="single" w:color="000000" w:sz="6" w:space="0"/>
              <w:right w:val="single" w:color="000000" w:sz="6" w:space="0"/>
            </w:tcBorders>
            <w:shd w:val="clear" w:color="auto" w:fill="BEBEBE" w:themeFill="background1" w:themeFillShade="BF"/>
            <w:vAlign w:val="center"/>
          </w:tcPr>
          <w:p>
            <w:pPr>
              <w:widowControl/>
              <w:jc w:val="center"/>
              <w:rPr>
                <w:rFonts w:ascii="仿宋" w:hAnsi="仿宋" w:eastAsia="仿宋" w:cs="宋体"/>
                <w:b/>
                <w:bCs/>
                <w:kern w:val="0"/>
                <w:sz w:val="22"/>
                <w:szCs w:val="22"/>
                <w:highlight w:val="none"/>
              </w:rPr>
            </w:pPr>
            <w:r>
              <w:rPr>
                <w:rFonts w:hint="eastAsia" w:ascii="仿宋" w:hAnsi="仿宋" w:eastAsia="仿宋" w:cs="宋体"/>
                <w:b/>
                <w:bCs/>
                <w:kern w:val="0"/>
                <w:sz w:val="22"/>
                <w:szCs w:val="22"/>
                <w:highlight w:val="none"/>
              </w:rPr>
              <w:t>工作内容</w:t>
            </w:r>
          </w:p>
        </w:tc>
      </w:tr>
      <w:tr>
        <w:tblPrEx>
          <w:tblCellMar>
            <w:top w:w="0" w:type="dxa"/>
            <w:left w:w="108" w:type="dxa"/>
            <w:bottom w:w="0" w:type="dxa"/>
            <w:right w:w="108" w:type="dxa"/>
          </w:tblCellMar>
        </w:tblPrEx>
        <w:trPr>
          <w:trHeight w:val="680" w:hRule="atLeast"/>
        </w:trPr>
        <w:tc>
          <w:tcPr>
            <w:tcW w:w="851"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仿宋" w:hAnsi="仿宋" w:eastAsia="仿宋" w:cs="宋体"/>
                <w:kern w:val="0"/>
                <w:sz w:val="22"/>
                <w:szCs w:val="22"/>
                <w:highlight w:val="none"/>
              </w:rPr>
            </w:pPr>
            <w:r>
              <w:rPr>
                <w:rFonts w:hint="eastAsia" w:ascii="仿宋" w:hAnsi="仿宋" w:eastAsia="仿宋" w:cs="宋体"/>
                <w:kern w:val="0"/>
                <w:sz w:val="22"/>
                <w:szCs w:val="22"/>
                <w:highlight w:val="none"/>
              </w:rPr>
              <w:t>1</w:t>
            </w:r>
          </w:p>
        </w:tc>
        <w:tc>
          <w:tcPr>
            <w:tcW w:w="992"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仿宋" w:hAnsi="仿宋" w:eastAsia="仿宋" w:cs="宋体"/>
                <w:kern w:val="0"/>
                <w:sz w:val="22"/>
                <w:szCs w:val="22"/>
                <w:highlight w:val="none"/>
              </w:rPr>
            </w:pPr>
            <w:r>
              <w:rPr>
                <w:rFonts w:hint="eastAsia" w:ascii="仿宋" w:hAnsi="仿宋" w:eastAsia="仿宋" w:cs="宋体"/>
                <w:kern w:val="0"/>
                <w:sz w:val="22"/>
                <w:szCs w:val="22"/>
                <w:highlight w:val="none"/>
              </w:rPr>
              <w:t>陈创存</w:t>
            </w:r>
          </w:p>
        </w:tc>
        <w:tc>
          <w:tcPr>
            <w:tcW w:w="132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仿宋" w:hAnsi="仿宋" w:eastAsia="仿宋" w:cs="宋体"/>
                <w:kern w:val="0"/>
                <w:sz w:val="22"/>
                <w:szCs w:val="22"/>
                <w:highlight w:val="none"/>
              </w:rPr>
            </w:pPr>
            <w:r>
              <w:rPr>
                <w:rFonts w:hint="eastAsia" w:ascii="仿宋" w:hAnsi="仿宋" w:eastAsia="仿宋" w:cs="宋体"/>
                <w:kern w:val="0"/>
                <w:sz w:val="22"/>
                <w:szCs w:val="22"/>
                <w:highlight w:val="none"/>
              </w:rPr>
              <w:t>质量控制复核人</w:t>
            </w:r>
          </w:p>
        </w:tc>
        <w:tc>
          <w:tcPr>
            <w:tcW w:w="1512"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仿宋" w:hAnsi="仿宋" w:eastAsia="仿宋" w:cs="宋体"/>
                <w:kern w:val="0"/>
                <w:sz w:val="22"/>
                <w:szCs w:val="22"/>
                <w:highlight w:val="none"/>
              </w:rPr>
            </w:pPr>
            <w:r>
              <w:rPr>
                <w:rFonts w:hint="eastAsia" w:ascii="仿宋" w:hAnsi="仿宋" w:eastAsia="仿宋" w:cs="宋体"/>
                <w:kern w:val="0"/>
                <w:sz w:val="22"/>
                <w:szCs w:val="22"/>
                <w:highlight w:val="none"/>
              </w:rPr>
              <w:t>注册会计师、评估师</w:t>
            </w:r>
          </w:p>
        </w:tc>
        <w:tc>
          <w:tcPr>
            <w:tcW w:w="4202"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left"/>
              <w:rPr>
                <w:rFonts w:ascii="仿宋" w:hAnsi="仿宋" w:eastAsia="仿宋" w:cs="宋体"/>
                <w:kern w:val="0"/>
                <w:sz w:val="22"/>
                <w:szCs w:val="22"/>
                <w:highlight w:val="none"/>
              </w:rPr>
            </w:pPr>
            <w:r>
              <w:rPr>
                <w:rFonts w:hint="eastAsia" w:ascii="仿宋" w:hAnsi="仿宋" w:eastAsia="仿宋" w:cs="宋体"/>
                <w:kern w:val="0"/>
                <w:sz w:val="22"/>
                <w:szCs w:val="22"/>
                <w:highlight w:val="none"/>
              </w:rPr>
              <w:t>协调沟通，参与制定实施方案，修改绩效评价报告，督导项目进度和项目质量。</w:t>
            </w:r>
          </w:p>
        </w:tc>
      </w:tr>
      <w:tr>
        <w:tblPrEx>
          <w:tblCellMar>
            <w:top w:w="0" w:type="dxa"/>
            <w:left w:w="108" w:type="dxa"/>
            <w:bottom w:w="0" w:type="dxa"/>
            <w:right w:w="108" w:type="dxa"/>
          </w:tblCellMar>
        </w:tblPrEx>
        <w:trPr>
          <w:trHeight w:val="680" w:hRule="atLeast"/>
        </w:trPr>
        <w:tc>
          <w:tcPr>
            <w:tcW w:w="851"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仿宋" w:hAnsi="仿宋" w:eastAsia="仿宋" w:cs="宋体"/>
                <w:kern w:val="0"/>
                <w:sz w:val="22"/>
                <w:szCs w:val="22"/>
                <w:highlight w:val="none"/>
              </w:rPr>
            </w:pPr>
            <w:r>
              <w:rPr>
                <w:rFonts w:hint="eastAsia" w:ascii="仿宋" w:hAnsi="仿宋" w:eastAsia="仿宋" w:cs="宋体"/>
                <w:kern w:val="0"/>
                <w:sz w:val="22"/>
                <w:szCs w:val="22"/>
                <w:highlight w:val="none"/>
              </w:rPr>
              <w:t>2</w:t>
            </w:r>
          </w:p>
        </w:tc>
        <w:tc>
          <w:tcPr>
            <w:tcW w:w="992"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仿宋" w:hAnsi="仿宋" w:eastAsia="仿宋" w:cs="宋体"/>
                <w:kern w:val="0"/>
                <w:sz w:val="22"/>
                <w:szCs w:val="22"/>
                <w:highlight w:val="none"/>
              </w:rPr>
            </w:pPr>
            <w:r>
              <w:rPr>
                <w:rFonts w:hint="eastAsia" w:ascii="仿宋" w:hAnsi="仿宋" w:eastAsia="仿宋" w:cs="宋体"/>
                <w:kern w:val="0"/>
                <w:sz w:val="22"/>
                <w:szCs w:val="22"/>
                <w:highlight w:val="none"/>
              </w:rPr>
              <w:t>阴文平</w:t>
            </w:r>
          </w:p>
        </w:tc>
        <w:tc>
          <w:tcPr>
            <w:tcW w:w="132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仿宋" w:hAnsi="仿宋" w:eastAsia="仿宋" w:cs="宋体"/>
                <w:kern w:val="0"/>
                <w:sz w:val="22"/>
                <w:szCs w:val="22"/>
                <w:highlight w:val="none"/>
              </w:rPr>
            </w:pPr>
            <w:r>
              <w:rPr>
                <w:rFonts w:hint="eastAsia" w:ascii="仿宋" w:hAnsi="仿宋" w:eastAsia="仿宋" w:cs="宋体"/>
                <w:kern w:val="0"/>
                <w:sz w:val="22"/>
                <w:szCs w:val="22"/>
                <w:highlight w:val="none"/>
              </w:rPr>
              <w:t>二级复核人</w:t>
            </w:r>
          </w:p>
        </w:tc>
        <w:tc>
          <w:tcPr>
            <w:tcW w:w="1512"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仿宋" w:hAnsi="仿宋" w:eastAsia="仿宋" w:cs="宋体"/>
                <w:kern w:val="0"/>
                <w:sz w:val="22"/>
                <w:szCs w:val="22"/>
                <w:highlight w:val="none"/>
              </w:rPr>
            </w:pPr>
            <w:r>
              <w:rPr>
                <w:rFonts w:hint="eastAsia" w:ascii="仿宋" w:hAnsi="仿宋" w:eastAsia="仿宋" w:cs="宋体"/>
                <w:kern w:val="0"/>
                <w:sz w:val="22"/>
                <w:szCs w:val="22"/>
                <w:highlight w:val="none"/>
              </w:rPr>
              <w:t>注册会计师、山西注协领军人才</w:t>
            </w:r>
          </w:p>
        </w:tc>
        <w:tc>
          <w:tcPr>
            <w:tcW w:w="4202"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left"/>
              <w:rPr>
                <w:rFonts w:ascii="仿宋" w:hAnsi="仿宋" w:eastAsia="仿宋" w:cs="宋体"/>
                <w:kern w:val="0"/>
                <w:sz w:val="22"/>
                <w:szCs w:val="22"/>
                <w:highlight w:val="none"/>
              </w:rPr>
            </w:pPr>
            <w:r>
              <w:rPr>
                <w:rFonts w:hint="eastAsia" w:ascii="仿宋" w:hAnsi="仿宋" w:eastAsia="仿宋" w:cs="宋体"/>
                <w:kern w:val="0"/>
                <w:sz w:val="22"/>
                <w:szCs w:val="22"/>
                <w:highlight w:val="none"/>
              </w:rPr>
              <w:t>参与制定实施方案，督促各小组按照时间进度执行业务，参与总报告修改，审核总报告。</w:t>
            </w:r>
          </w:p>
        </w:tc>
      </w:tr>
      <w:tr>
        <w:tblPrEx>
          <w:tblCellMar>
            <w:top w:w="0" w:type="dxa"/>
            <w:left w:w="108" w:type="dxa"/>
            <w:bottom w:w="0" w:type="dxa"/>
            <w:right w:w="108" w:type="dxa"/>
          </w:tblCellMar>
        </w:tblPrEx>
        <w:trPr>
          <w:trHeight w:val="680" w:hRule="atLeast"/>
        </w:trPr>
        <w:tc>
          <w:tcPr>
            <w:tcW w:w="851"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仿宋" w:hAnsi="仿宋" w:eastAsia="仿宋" w:cs="宋体"/>
                <w:kern w:val="0"/>
                <w:sz w:val="22"/>
                <w:szCs w:val="22"/>
                <w:highlight w:val="none"/>
              </w:rPr>
            </w:pPr>
            <w:r>
              <w:rPr>
                <w:rFonts w:hint="eastAsia" w:ascii="仿宋" w:hAnsi="仿宋" w:eastAsia="仿宋" w:cs="宋体"/>
                <w:kern w:val="0"/>
                <w:sz w:val="22"/>
                <w:szCs w:val="22"/>
                <w:highlight w:val="none"/>
              </w:rPr>
              <w:t>3</w:t>
            </w:r>
          </w:p>
        </w:tc>
        <w:tc>
          <w:tcPr>
            <w:tcW w:w="992"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仿宋" w:hAnsi="仿宋" w:eastAsia="仿宋" w:cs="宋体"/>
                <w:kern w:val="0"/>
                <w:sz w:val="22"/>
                <w:szCs w:val="22"/>
                <w:highlight w:val="none"/>
              </w:rPr>
            </w:pPr>
            <w:r>
              <w:rPr>
                <w:rFonts w:hint="eastAsia" w:ascii="仿宋" w:hAnsi="仿宋" w:eastAsia="仿宋" w:cs="宋体"/>
                <w:color w:val="000000"/>
                <w:kern w:val="0"/>
                <w:sz w:val="22"/>
                <w:szCs w:val="22"/>
                <w:highlight w:val="none"/>
              </w:rPr>
              <w:t>周蕾芳</w:t>
            </w:r>
          </w:p>
        </w:tc>
        <w:tc>
          <w:tcPr>
            <w:tcW w:w="132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仿宋" w:hAnsi="仿宋" w:eastAsia="仿宋" w:cs="宋体"/>
                <w:kern w:val="0"/>
                <w:sz w:val="22"/>
                <w:szCs w:val="22"/>
                <w:highlight w:val="none"/>
              </w:rPr>
            </w:pPr>
            <w:r>
              <w:rPr>
                <w:rFonts w:hint="eastAsia" w:ascii="仿宋" w:hAnsi="仿宋" w:eastAsia="仿宋" w:cs="宋体"/>
                <w:kern w:val="0"/>
                <w:sz w:val="22"/>
                <w:szCs w:val="22"/>
                <w:highlight w:val="none"/>
              </w:rPr>
              <w:t>项目负责人</w:t>
            </w:r>
          </w:p>
        </w:tc>
        <w:tc>
          <w:tcPr>
            <w:tcW w:w="1512"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仿宋" w:hAnsi="仿宋" w:eastAsia="仿宋" w:cs="宋体"/>
                <w:kern w:val="0"/>
                <w:sz w:val="22"/>
                <w:szCs w:val="22"/>
                <w:highlight w:val="none"/>
              </w:rPr>
            </w:pPr>
            <w:r>
              <w:rPr>
                <w:rFonts w:hint="eastAsia" w:ascii="仿宋" w:hAnsi="仿宋" w:eastAsia="仿宋" w:cs="宋体"/>
                <w:kern w:val="0"/>
                <w:sz w:val="22"/>
                <w:szCs w:val="22"/>
                <w:highlight w:val="none"/>
              </w:rPr>
              <w:t>注册会计师</w:t>
            </w:r>
          </w:p>
        </w:tc>
        <w:tc>
          <w:tcPr>
            <w:tcW w:w="4202"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left"/>
              <w:rPr>
                <w:rFonts w:ascii="仿宋" w:hAnsi="仿宋" w:eastAsia="仿宋" w:cs="宋体"/>
                <w:kern w:val="0"/>
                <w:sz w:val="22"/>
                <w:szCs w:val="22"/>
                <w:highlight w:val="none"/>
              </w:rPr>
            </w:pPr>
            <w:r>
              <w:rPr>
                <w:rFonts w:hint="eastAsia" w:ascii="仿宋" w:hAnsi="仿宋" w:eastAsia="仿宋" w:cs="宋体"/>
                <w:kern w:val="0"/>
                <w:sz w:val="22"/>
                <w:szCs w:val="22"/>
                <w:highlight w:val="none"/>
              </w:rPr>
              <w:t>组织制定方案与现场绩效评价、负责总报告撰写。</w:t>
            </w:r>
          </w:p>
        </w:tc>
      </w:tr>
      <w:tr>
        <w:tblPrEx>
          <w:tblCellMar>
            <w:top w:w="0" w:type="dxa"/>
            <w:left w:w="108" w:type="dxa"/>
            <w:bottom w:w="0" w:type="dxa"/>
            <w:right w:w="108" w:type="dxa"/>
          </w:tblCellMar>
        </w:tblPrEx>
        <w:trPr>
          <w:trHeight w:val="680" w:hRule="atLeast"/>
        </w:trPr>
        <w:tc>
          <w:tcPr>
            <w:tcW w:w="851"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仿宋" w:hAnsi="仿宋" w:eastAsia="仿宋" w:cs="宋体"/>
                <w:kern w:val="0"/>
                <w:sz w:val="22"/>
                <w:szCs w:val="22"/>
                <w:highlight w:val="none"/>
              </w:rPr>
            </w:pPr>
            <w:r>
              <w:rPr>
                <w:rFonts w:hint="eastAsia" w:ascii="仿宋" w:hAnsi="仿宋" w:eastAsia="仿宋" w:cs="宋体"/>
                <w:kern w:val="0"/>
                <w:sz w:val="22"/>
                <w:szCs w:val="22"/>
                <w:highlight w:val="none"/>
              </w:rPr>
              <w:t>4</w:t>
            </w:r>
          </w:p>
        </w:tc>
        <w:tc>
          <w:tcPr>
            <w:tcW w:w="992"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hint="eastAsia" w:ascii="仿宋" w:hAnsi="仿宋" w:eastAsia="仿宋" w:cs="宋体"/>
                <w:color w:val="000000"/>
                <w:kern w:val="0"/>
                <w:sz w:val="22"/>
                <w:szCs w:val="22"/>
                <w:highlight w:val="none"/>
                <w:lang w:eastAsia="zh-CN"/>
              </w:rPr>
            </w:pPr>
            <w:r>
              <w:rPr>
                <w:rFonts w:hint="eastAsia" w:ascii="仿宋" w:hAnsi="仿宋" w:eastAsia="仿宋" w:cs="宋体"/>
                <w:color w:val="000000"/>
                <w:kern w:val="0"/>
                <w:sz w:val="22"/>
                <w:szCs w:val="22"/>
                <w:highlight w:val="none"/>
                <w:lang w:val="en-US" w:eastAsia="zh-CN"/>
              </w:rPr>
              <w:t>周杰</w:t>
            </w:r>
          </w:p>
        </w:tc>
        <w:tc>
          <w:tcPr>
            <w:tcW w:w="132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hint="eastAsia" w:ascii="仿宋" w:hAnsi="仿宋" w:eastAsia="仿宋" w:cs="宋体"/>
                <w:color w:val="000000"/>
                <w:kern w:val="0"/>
                <w:sz w:val="22"/>
                <w:szCs w:val="22"/>
                <w:highlight w:val="none"/>
                <w:lang w:eastAsia="zh-CN"/>
              </w:rPr>
            </w:pPr>
            <w:r>
              <w:rPr>
                <w:rFonts w:hint="eastAsia" w:ascii="仿宋" w:hAnsi="仿宋" w:eastAsia="仿宋" w:cs="宋体"/>
                <w:color w:val="000000"/>
                <w:kern w:val="0"/>
                <w:sz w:val="22"/>
                <w:szCs w:val="22"/>
                <w:highlight w:val="none"/>
              </w:rPr>
              <w:t>绩效评价组</w:t>
            </w:r>
            <w:r>
              <w:rPr>
                <w:rFonts w:hint="eastAsia" w:ascii="仿宋" w:hAnsi="仿宋" w:eastAsia="仿宋" w:cs="宋体"/>
                <w:color w:val="000000"/>
                <w:kern w:val="0"/>
                <w:sz w:val="22"/>
                <w:szCs w:val="22"/>
                <w:highlight w:val="none"/>
                <w:lang w:eastAsia="zh-CN"/>
              </w:rPr>
              <w:t>成员</w:t>
            </w:r>
          </w:p>
        </w:tc>
        <w:tc>
          <w:tcPr>
            <w:tcW w:w="1512"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hint="eastAsia" w:ascii="仿宋" w:hAnsi="仿宋" w:eastAsia="仿宋" w:cs="宋体"/>
                <w:color w:val="000000"/>
                <w:kern w:val="0"/>
                <w:sz w:val="22"/>
                <w:szCs w:val="22"/>
                <w:highlight w:val="none"/>
                <w:lang w:eastAsia="zh-CN"/>
              </w:rPr>
            </w:pPr>
            <w:r>
              <w:rPr>
                <w:rFonts w:hint="eastAsia" w:ascii="仿宋" w:hAnsi="仿宋" w:eastAsia="仿宋" w:cs="宋体"/>
                <w:color w:val="000000"/>
                <w:kern w:val="0"/>
                <w:sz w:val="22"/>
                <w:szCs w:val="22"/>
                <w:highlight w:val="none"/>
                <w:lang w:val="en-US" w:eastAsia="zh-CN"/>
              </w:rPr>
              <w:t>注册</w:t>
            </w:r>
            <w:r>
              <w:rPr>
                <w:rFonts w:hint="eastAsia" w:ascii="仿宋" w:hAnsi="仿宋" w:eastAsia="仿宋" w:cs="宋体"/>
                <w:color w:val="000000"/>
                <w:kern w:val="0"/>
                <w:sz w:val="22"/>
                <w:szCs w:val="22"/>
                <w:highlight w:val="none"/>
                <w:lang w:eastAsia="zh-CN"/>
              </w:rPr>
              <w:t>会计师</w:t>
            </w:r>
          </w:p>
        </w:tc>
        <w:tc>
          <w:tcPr>
            <w:tcW w:w="4202"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left"/>
              <w:rPr>
                <w:rFonts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lang w:eastAsia="zh-CN"/>
              </w:rPr>
              <w:t>协助</w:t>
            </w:r>
            <w:r>
              <w:rPr>
                <w:rFonts w:hint="eastAsia" w:ascii="仿宋" w:hAnsi="仿宋" w:eastAsia="仿宋" w:cs="宋体"/>
                <w:color w:val="000000"/>
                <w:kern w:val="0"/>
                <w:sz w:val="22"/>
                <w:szCs w:val="22"/>
                <w:highlight w:val="none"/>
              </w:rPr>
              <w:t>制定实施方案</w:t>
            </w:r>
            <w:r>
              <w:rPr>
                <w:rFonts w:hint="eastAsia" w:ascii="仿宋" w:hAnsi="仿宋" w:eastAsia="仿宋" w:cs="宋体"/>
                <w:color w:val="000000"/>
                <w:kern w:val="0"/>
                <w:sz w:val="22"/>
                <w:szCs w:val="22"/>
                <w:highlight w:val="none"/>
                <w:lang w:eastAsia="zh-CN"/>
              </w:rPr>
              <w:t>、指标设计、撰写报告，现场绩效评价、问卷调查</w:t>
            </w:r>
            <w:r>
              <w:rPr>
                <w:rFonts w:hint="eastAsia" w:ascii="仿宋" w:hAnsi="仿宋" w:eastAsia="仿宋" w:cs="宋体"/>
                <w:color w:val="000000"/>
                <w:kern w:val="0"/>
                <w:sz w:val="22"/>
                <w:szCs w:val="22"/>
                <w:highlight w:val="none"/>
              </w:rPr>
              <w:t>。</w:t>
            </w:r>
          </w:p>
        </w:tc>
      </w:tr>
      <w:tr>
        <w:tblPrEx>
          <w:tblCellMar>
            <w:top w:w="0" w:type="dxa"/>
            <w:left w:w="108" w:type="dxa"/>
            <w:bottom w:w="0" w:type="dxa"/>
            <w:right w:w="108" w:type="dxa"/>
          </w:tblCellMar>
        </w:tblPrEx>
        <w:trPr>
          <w:trHeight w:val="680" w:hRule="atLeast"/>
        </w:trPr>
        <w:tc>
          <w:tcPr>
            <w:tcW w:w="851"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仿宋" w:hAnsi="仿宋" w:eastAsia="仿宋" w:cs="宋体"/>
                <w:kern w:val="0"/>
                <w:sz w:val="22"/>
                <w:szCs w:val="22"/>
                <w:highlight w:val="none"/>
              </w:rPr>
            </w:pPr>
            <w:r>
              <w:rPr>
                <w:rFonts w:hint="eastAsia" w:ascii="仿宋" w:hAnsi="仿宋" w:eastAsia="仿宋" w:cs="宋体"/>
                <w:kern w:val="0"/>
                <w:sz w:val="22"/>
                <w:szCs w:val="22"/>
                <w:highlight w:val="none"/>
              </w:rPr>
              <w:t>5</w:t>
            </w:r>
          </w:p>
        </w:tc>
        <w:tc>
          <w:tcPr>
            <w:tcW w:w="992"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hint="eastAsia" w:ascii="仿宋" w:hAnsi="仿宋" w:eastAsia="仿宋" w:cs="宋体"/>
                <w:color w:val="000000"/>
                <w:kern w:val="0"/>
                <w:sz w:val="22"/>
                <w:szCs w:val="22"/>
                <w:highlight w:val="none"/>
                <w:lang w:eastAsia="zh-CN"/>
              </w:rPr>
            </w:pPr>
            <w:r>
              <w:rPr>
                <w:rFonts w:hint="eastAsia" w:ascii="仿宋" w:hAnsi="仿宋" w:eastAsia="仿宋" w:cs="宋体"/>
                <w:color w:val="000000"/>
                <w:kern w:val="0"/>
                <w:sz w:val="22"/>
                <w:szCs w:val="22"/>
                <w:highlight w:val="none"/>
                <w:lang w:eastAsia="zh-CN"/>
              </w:rPr>
              <w:t>马国霞</w:t>
            </w:r>
          </w:p>
        </w:tc>
        <w:tc>
          <w:tcPr>
            <w:tcW w:w="132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绩效评价组</w:t>
            </w:r>
            <w:r>
              <w:rPr>
                <w:rFonts w:hint="eastAsia" w:ascii="仿宋" w:hAnsi="仿宋" w:eastAsia="仿宋" w:cs="宋体"/>
                <w:color w:val="000000"/>
                <w:kern w:val="0"/>
                <w:sz w:val="22"/>
                <w:szCs w:val="22"/>
                <w:highlight w:val="none"/>
                <w:lang w:eastAsia="zh-CN"/>
              </w:rPr>
              <w:t>成员</w:t>
            </w:r>
          </w:p>
        </w:tc>
        <w:tc>
          <w:tcPr>
            <w:tcW w:w="1512"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lang w:eastAsia="zh-CN"/>
              </w:rPr>
              <w:t>中级会计师</w:t>
            </w:r>
          </w:p>
        </w:tc>
        <w:tc>
          <w:tcPr>
            <w:tcW w:w="4202"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left"/>
              <w:rPr>
                <w:rFonts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lang w:eastAsia="zh-CN"/>
              </w:rPr>
              <w:t>协助</w:t>
            </w:r>
            <w:r>
              <w:rPr>
                <w:rFonts w:hint="eastAsia" w:ascii="仿宋" w:hAnsi="仿宋" w:eastAsia="仿宋" w:cs="宋体"/>
                <w:color w:val="000000"/>
                <w:kern w:val="0"/>
                <w:sz w:val="22"/>
                <w:szCs w:val="22"/>
                <w:highlight w:val="none"/>
              </w:rPr>
              <w:t>制定实施方案</w:t>
            </w:r>
            <w:r>
              <w:rPr>
                <w:rFonts w:hint="eastAsia" w:ascii="仿宋" w:hAnsi="仿宋" w:eastAsia="仿宋" w:cs="宋体"/>
                <w:color w:val="000000"/>
                <w:kern w:val="0"/>
                <w:sz w:val="22"/>
                <w:szCs w:val="22"/>
                <w:highlight w:val="none"/>
                <w:lang w:eastAsia="zh-CN"/>
              </w:rPr>
              <w:t>、指标设计、撰写报告，现场绩效评价、问卷调查</w:t>
            </w:r>
            <w:r>
              <w:rPr>
                <w:rFonts w:hint="eastAsia" w:ascii="仿宋" w:hAnsi="仿宋" w:eastAsia="仿宋" w:cs="宋体"/>
                <w:color w:val="000000"/>
                <w:kern w:val="0"/>
                <w:sz w:val="22"/>
                <w:szCs w:val="22"/>
                <w:highlight w:val="none"/>
              </w:rPr>
              <w:t>。</w:t>
            </w:r>
          </w:p>
        </w:tc>
      </w:tr>
      <w:tr>
        <w:tblPrEx>
          <w:tblCellMar>
            <w:top w:w="0" w:type="dxa"/>
            <w:left w:w="108" w:type="dxa"/>
            <w:bottom w:w="0" w:type="dxa"/>
            <w:right w:w="108" w:type="dxa"/>
          </w:tblCellMar>
        </w:tblPrEx>
        <w:trPr>
          <w:trHeight w:val="680" w:hRule="atLeast"/>
        </w:trPr>
        <w:tc>
          <w:tcPr>
            <w:tcW w:w="851"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仿宋" w:hAnsi="仿宋" w:eastAsia="仿宋" w:cs="宋体"/>
                <w:kern w:val="0"/>
                <w:sz w:val="22"/>
                <w:szCs w:val="22"/>
                <w:highlight w:val="none"/>
              </w:rPr>
            </w:pPr>
            <w:r>
              <w:rPr>
                <w:rFonts w:hint="eastAsia" w:ascii="仿宋" w:hAnsi="仿宋" w:eastAsia="仿宋" w:cs="宋体"/>
                <w:kern w:val="0"/>
                <w:sz w:val="22"/>
                <w:szCs w:val="22"/>
                <w:highlight w:val="none"/>
              </w:rPr>
              <w:t>6</w:t>
            </w:r>
          </w:p>
        </w:tc>
        <w:tc>
          <w:tcPr>
            <w:tcW w:w="992"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hint="eastAsia" w:ascii="仿宋" w:hAnsi="仿宋" w:eastAsia="仿宋" w:cs="宋体"/>
                <w:color w:val="000000"/>
                <w:kern w:val="0"/>
                <w:sz w:val="22"/>
                <w:szCs w:val="22"/>
                <w:highlight w:val="none"/>
                <w:lang w:eastAsia="zh-CN"/>
              </w:rPr>
            </w:pPr>
            <w:r>
              <w:rPr>
                <w:rFonts w:hint="eastAsia" w:ascii="仿宋" w:hAnsi="仿宋" w:eastAsia="仿宋" w:cs="宋体"/>
                <w:color w:val="000000"/>
                <w:kern w:val="0"/>
                <w:sz w:val="22"/>
                <w:szCs w:val="22"/>
                <w:highlight w:val="none"/>
                <w:lang w:val="en-US" w:eastAsia="zh-CN"/>
              </w:rPr>
              <w:t>吴亚鹏</w:t>
            </w:r>
          </w:p>
        </w:tc>
        <w:tc>
          <w:tcPr>
            <w:tcW w:w="1323"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rPr>
              <w:t>绩效评价组</w:t>
            </w:r>
            <w:r>
              <w:rPr>
                <w:rFonts w:hint="eastAsia" w:ascii="仿宋" w:hAnsi="仿宋" w:eastAsia="仿宋" w:cs="宋体"/>
                <w:color w:val="000000"/>
                <w:kern w:val="0"/>
                <w:sz w:val="22"/>
                <w:szCs w:val="22"/>
                <w:highlight w:val="none"/>
                <w:lang w:eastAsia="zh-CN"/>
              </w:rPr>
              <w:t>成员</w:t>
            </w:r>
          </w:p>
        </w:tc>
        <w:tc>
          <w:tcPr>
            <w:tcW w:w="1512"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center"/>
              <w:rPr>
                <w:rFonts w:hint="eastAsia" w:ascii="仿宋" w:hAnsi="仿宋" w:eastAsia="仿宋" w:cs="宋体"/>
                <w:color w:val="000000"/>
                <w:kern w:val="0"/>
                <w:sz w:val="22"/>
                <w:szCs w:val="22"/>
                <w:highlight w:val="none"/>
                <w:lang w:eastAsia="zh-CN"/>
              </w:rPr>
            </w:pPr>
            <w:r>
              <w:rPr>
                <w:rFonts w:hint="eastAsia" w:ascii="仿宋" w:hAnsi="仿宋" w:eastAsia="仿宋" w:cs="宋体"/>
                <w:color w:val="000000"/>
                <w:kern w:val="0"/>
                <w:sz w:val="22"/>
                <w:szCs w:val="22"/>
                <w:highlight w:val="none"/>
                <w:lang w:eastAsia="zh-CN"/>
              </w:rPr>
              <w:t>助理</w:t>
            </w:r>
          </w:p>
        </w:tc>
        <w:tc>
          <w:tcPr>
            <w:tcW w:w="4202" w:type="dxa"/>
            <w:tcBorders>
              <w:top w:val="single" w:color="000000" w:sz="6" w:space="0"/>
              <w:left w:val="single" w:color="000000" w:sz="6" w:space="0"/>
              <w:bottom w:val="single" w:color="000000" w:sz="6" w:space="0"/>
              <w:right w:val="single" w:color="000000" w:sz="6" w:space="0"/>
            </w:tcBorders>
            <w:shd w:val="clear" w:color="auto" w:fill="auto"/>
            <w:vAlign w:val="center"/>
          </w:tcPr>
          <w:p>
            <w:pPr>
              <w:widowControl/>
              <w:jc w:val="left"/>
              <w:rPr>
                <w:rFonts w:ascii="仿宋" w:hAnsi="仿宋" w:eastAsia="仿宋" w:cs="宋体"/>
                <w:color w:val="000000"/>
                <w:kern w:val="0"/>
                <w:sz w:val="22"/>
                <w:szCs w:val="22"/>
                <w:highlight w:val="none"/>
              </w:rPr>
            </w:pPr>
            <w:r>
              <w:rPr>
                <w:rFonts w:hint="eastAsia" w:ascii="仿宋" w:hAnsi="仿宋" w:eastAsia="仿宋" w:cs="宋体"/>
                <w:color w:val="000000"/>
                <w:kern w:val="0"/>
                <w:sz w:val="22"/>
                <w:szCs w:val="22"/>
                <w:highlight w:val="none"/>
                <w:lang w:eastAsia="zh-CN"/>
              </w:rPr>
              <w:t>协助</w:t>
            </w:r>
            <w:r>
              <w:rPr>
                <w:rFonts w:hint="eastAsia" w:ascii="仿宋" w:hAnsi="仿宋" w:eastAsia="仿宋" w:cs="宋体"/>
                <w:color w:val="000000"/>
                <w:kern w:val="0"/>
                <w:sz w:val="22"/>
                <w:szCs w:val="22"/>
                <w:highlight w:val="none"/>
              </w:rPr>
              <w:t>制定实施方案</w:t>
            </w:r>
            <w:r>
              <w:rPr>
                <w:rFonts w:hint="eastAsia" w:ascii="仿宋" w:hAnsi="仿宋" w:eastAsia="仿宋" w:cs="宋体"/>
                <w:color w:val="000000"/>
                <w:kern w:val="0"/>
                <w:sz w:val="22"/>
                <w:szCs w:val="22"/>
                <w:highlight w:val="none"/>
                <w:lang w:eastAsia="zh-CN"/>
              </w:rPr>
              <w:t>、指标设计、撰写报告，现场绩效评价、问卷调查</w:t>
            </w:r>
            <w:r>
              <w:rPr>
                <w:rFonts w:hint="eastAsia" w:ascii="仿宋" w:hAnsi="仿宋" w:eastAsia="仿宋" w:cs="宋体"/>
                <w:color w:val="000000"/>
                <w:kern w:val="0"/>
                <w:sz w:val="22"/>
                <w:szCs w:val="22"/>
                <w:highlight w:val="none"/>
              </w:rPr>
              <w:t>。</w:t>
            </w:r>
          </w:p>
        </w:tc>
      </w:tr>
    </w:tbl>
    <w:p>
      <w:pPr>
        <w:spacing w:line="560" w:lineRule="exact"/>
        <w:ind w:firstLine="562" w:firstLineChars="200"/>
        <w:rPr>
          <w:rFonts w:ascii="仿宋" w:hAnsi="仿宋" w:eastAsia="仿宋" w:cs="仿宋"/>
          <w:b/>
          <w:bCs/>
          <w:sz w:val="28"/>
          <w:szCs w:val="28"/>
          <w:highlight w:val="none"/>
        </w:rPr>
      </w:pPr>
      <w:bookmarkStart w:id="47" w:name="_Toc26280_WPSOffice_Level3"/>
      <w:r>
        <w:rPr>
          <w:rFonts w:hint="eastAsia" w:ascii="仿宋" w:hAnsi="仿宋" w:eastAsia="仿宋" w:cs="仿宋"/>
          <w:b/>
          <w:bCs/>
          <w:sz w:val="28"/>
          <w:szCs w:val="28"/>
          <w:highlight w:val="none"/>
        </w:rPr>
        <w:t>2.评价时间及主要工作进程安排</w:t>
      </w:r>
      <w:bookmarkEnd w:id="47"/>
    </w:p>
    <w:p>
      <w:pPr>
        <w:spacing w:line="56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绩效评价工作分为评价准备阶段、评价实施阶段和评价报告撰写阶段。</w:t>
      </w:r>
    </w:p>
    <w:p>
      <w:pPr>
        <w:spacing w:line="56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（1）评价准备阶段（20</w:t>
      </w:r>
      <w:r>
        <w:rPr>
          <w:rFonts w:hint="eastAsia" w:ascii="仿宋" w:hAnsi="仿宋" w:eastAsia="仿宋" w:cs="仿宋"/>
          <w:sz w:val="28"/>
          <w:szCs w:val="28"/>
          <w:highlight w:val="none"/>
          <w:lang w:val="en-US" w:eastAsia="zh-CN"/>
        </w:rPr>
        <w:t>21</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9</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8</w:t>
      </w:r>
      <w:r>
        <w:rPr>
          <w:rFonts w:hint="eastAsia" w:ascii="仿宋" w:hAnsi="仿宋" w:eastAsia="仿宋" w:cs="仿宋"/>
          <w:sz w:val="28"/>
          <w:szCs w:val="28"/>
          <w:highlight w:val="none"/>
        </w:rPr>
        <w:t>日—</w:t>
      </w:r>
      <w:r>
        <w:rPr>
          <w:rFonts w:hint="eastAsia" w:ascii="仿宋" w:hAnsi="仿宋" w:eastAsia="仿宋" w:cs="仿宋"/>
          <w:sz w:val="28"/>
          <w:szCs w:val="28"/>
          <w:highlight w:val="none"/>
          <w:lang w:val="en-US" w:eastAsia="zh-CN"/>
        </w:rPr>
        <w:t>9</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25</w:t>
      </w:r>
      <w:r>
        <w:rPr>
          <w:rFonts w:hint="eastAsia" w:ascii="仿宋" w:hAnsi="仿宋" w:eastAsia="仿宋" w:cs="仿宋"/>
          <w:sz w:val="28"/>
          <w:szCs w:val="28"/>
          <w:highlight w:val="none"/>
        </w:rPr>
        <w:t>日）</w:t>
      </w:r>
    </w:p>
    <w:p>
      <w:pPr>
        <w:spacing w:line="56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制定绩效评价实施方案。评价小组研读了相关文件，并与</w:t>
      </w:r>
      <w:r>
        <w:rPr>
          <w:rFonts w:hint="eastAsia" w:ascii="仿宋" w:hAnsi="仿宋" w:eastAsia="仿宋" w:cs="仿宋"/>
          <w:sz w:val="28"/>
          <w:szCs w:val="28"/>
          <w:highlight w:val="none"/>
          <w:lang w:val="en-US" w:eastAsia="zh-CN"/>
        </w:rPr>
        <w:t>临猗县老干部局</w:t>
      </w:r>
      <w:r>
        <w:rPr>
          <w:rFonts w:hint="eastAsia" w:ascii="仿宋" w:hAnsi="仿宋" w:eastAsia="仿宋" w:cs="仿宋"/>
          <w:sz w:val="28"/>
          <w:szCs w:val="28"/>
          <w:highlight w:val="none"/>
        </w:rPr>
        <w:t>人员就</w:t>
      </w:r>
      <w:r>
        <w:rPr>
          <w:rFonts w:hint="eastAsia" w:ascii="仿宋" w:hAnsi="仿宋" w:eastAsia="仿宋" w:cs="仿宋"/>
          <w:sz w:val="28"/>
          <w:szCs w:val="28"/>
          <w:highlight w:val="none"/>
          <w:lang w:eastAsia="zh-CN"/>
        </w:rPr>
        <w:t>单位情况、</w:t>
      </w:r>
      <w:r>
        <w:rPr>
          <w:rFonts w:hint="eastAsia" w:ascii="仿宋" w:hAnsi="仿宋" w:eastAsia="仿宋" w:cs="仿宋"/>
          <w:sz w:val="28"/>
          <w:szCs w:val="28"/>
          <w:highlight w:val="none"/>
        </w:rPr>
        <w:t>项目具体实施情况进行了解，并进一步查阅相关资料。评价小组内部研讨后，</w:t>
      </w:r>
      <w:r>
        <w:rPr>
          <w:rFonts w:hint="eastAsia" w:ascii="仿宋" w:hAnsi="仿宋" w:eastAsia="仿宋" w:cs="仿宋"/>
          <w:sz w:val="28"/>
          <w:szCs w:val="28"/>
          <w:highlight w:val="none"/>
          <w:lang w:eastAsia="zh-CN"/>
        </w:rPr>
        <w:t>拟</w:t>
      </w:r>
      <w:r>
        <w:rPr>
          <w:rFonts w:hint="eastAsia" w:ascii="仿宋" w:hAnsi="仿宋" w:eastAsia="仿宋" w:cs="仿宋"/>
          <w:sz w:val="28"/>
          <w:szCs w:val="28"/>
          <w:highlight w:val="none"/>
        </w:rPr>
        <w:t>定工作方案、指标体系、调查问卷及访谈内容，于20</w:t>
      </w:r>
      <w:r>
        <w:rPr>
          <w:rFonts w:hint="eastAsia" w:ascii="仿宋" w:hAnsi="仿宋" w:eastAsia="仿宋" w:cs="仿宋"/>
          <w:sz w:val="28"/>
          <w:szCs w:val="28"/>
          <w:highlight w:val="none"/>
          <w:lang w:val="en-US" w:eastAsia="zh-CN"/>
        </w:rPr>
        <w:t>21</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9</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25</w:t>
      </w:r>
      <w:r>
        <w:rPr>
          <w:rFonts w:hint="eastAsia" w:ascii="仿宋" w:hAnsi="仿宋" w:eastAsia="仿宋" w:cs="仿宋"/>
          <w:sz w:val="28"/>
          <w:szCs w:val="28"/>
          <w:highlight w:val="none"/>
        </w:rPr>
        <w:t>日</w:t>
      </w:r>
      <w:r>
        <w:rPr>
          <w:rFonts w:hint="eastAsia" w:ascii="仿宋" w:hAnsi="仿宋" w:eastAsia="仿宋" w:cs="仿宋"/>
          <w:sz w:val="28"/>
          <w:szCs w:val="28"/>
          <w:highlight w:val="none"/>
          <w:lang w:eastAsia="zh-CN"/>
        </w:rPr>
        <w:t>经单位内部审核，审核后</w:t>
      </w:r>
      <w:r>
        <w:rPr>
          <w:rFonts w:hint="eastAsia" w:ascii="仿宋" w:hAnsi="仿宋" w:eastAsia="仿宋" w:cs="仿宋"/>
          <w:sz w:val="28"/>
          <w:szCs w:val="28"/>
          <w:highlight w:val="none"/>
        </w:rPr>
        <w:t>根据审核论证意见对方案和指标进行修改并完善，确定绩效评价方案、指标体系、调查问卷及访谈内容。</w:t>
      </w:r>
    </w:p>
    <w:p>
      <w:pPr>
        <w:spacing w:line="56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（2）评价实施阶段（20</w:t>
      </w:r>
      <w:r>
        <w:rPr>
          <w:rFonts w:hint="eastAsia" w:ascii="仿宋" w:hAnsi="仿宋" w:eastAsia="仿宋" w:cs="仿宋"/>
          <w:sz w:val="28"/>
          <w:szCs w:val="28"/>
          <w:highlight w:val="none"/>
          <w:lang w:val="en-US" w:eastAsia="zh-CN"/>
        </w:rPr>
        <w:t>21</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9</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26</w:t>
      </w:r>
      <w:r>
        <w:rPr>
          <w:rFonts w:hint="eastAsia" w:ascii="仿宋" w:hAnsi="仿宋" w:eastAsia="仿宋" w:cs="仿宋"/>
          <w:sz w:val="28"/>
          <w:szCs w:val="28"/>
          <w:highlight w:val="none"/>
        </w:rPr>
        <w:t>日—</w:t>
      </w:r>
      <w:r>
        <w:rPr>
          <w:rFonts w:hint="eastAsia" w:ascii="仿宋" w:hAnsi="仿宋" w:eastAsia="仿宋" w:cs="仿宋"/>
          <w:sz w:val="28"/>
          <w:szCs w:val="28"/>
          <w:highlight w:val="none"/>
          <w:lang w:val="en-US" w:eastAsia="zh-CN"/>
        </w:rPr>
        <w:t>10</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12</w:t>
      </w:r>
      <w:r>
        <w:rPr>
          <w:rFonts w:hint="eastAsia" w:ascii="仿宋" w:hAnsi="仿宋" w:eastAsia="仿宋" w:cs="仿宋"/>
          <w:sz w:val="28"/>
          <w:szCs w:val="28"/>
          <w:highlight w:val="none"/>
        </w:rPr>
        <w:t>日）</w:t>
      </w:r>
    </w:p>
    <w:p>
      <w:pPr>
        <w:spacing w:line="56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根据确定的绩效评价方案，评价小组将绩效评价实施方案、需要准备的资料清单等发至</w:t>
      </w:r>
      <w:r>
        <w:rPr>
          <w:rFonts w:hint="eastAsia" w:ascii="仿宋" w:hAnsi="仿宋" w:eastAsia="仿宋" w:cs="仿宋"/>
          <w:sz w:val="28"/>
          <w:szCs w:val="28"/>
          <w:highlight w:val="none"/>
          <w:lang w:eastAsia="zh-CN"/>
        </w:rPr>
        <w:t>被评价部门</w:t>
      </w:r>
      <w:r>
        <w:rPr>
          <w:rFonts w:hint="eastAsia" w:ascii="仿宋" w:hAnsi="仿宋" w:eastAsia="仿宋" w:cs="仿宋"/>
          <w:sz w:val="28"/>
          <w:szCs w:val="28"/>
          <w:highlight w:val="none"/>
        </w:rPr>
        <w:t>，并要求</w:t>
      </w:r>
      <w:r>
        <w:rPr>
          <w:rFonts w:hint="eastAsia" w:ascii="仿宋" w:hAnsi="仿宋" w:eastAsia="仿宋" w:cs="仿宋"/>
          <w:sz w:val="28"/>
          <w:szCs w:val="28"/>
          <w:highlight w:val="none"/>
          <w:lang w:eastAsia="zh-CN"/>
        </w:rPr>
        <w:t>被评价部门</w:t>
      </w:r>
      <w:r>
        <w:rPr>
          <w:rFonts w:hint="eastAsia" w:ascii="仿宋" w:hAnsi="仿宋" w:eastAsia="仿宋" w:cs="仿宋"/>
          <w:sz w:val="28"/>
          <w:szCs w:val="28"/>
          <w:highlight w:val="none"/>
        </w:rPr>
        <w:t>按照方案要求编写绩效自评报告、提供相关电子资料及纸质资料。</w:t>
      </w:r>
    </w:p>
    <w:p>
      <w:pPr>
        <w:spacing w:line="56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首先，由评价小组组长根据访谈大纲，约谈项目负责人，完成访谈工作；第二、组织评价小组人员对</w:t>
      </w:r>
      <w:r>
        <w:rPr>
          <w:rFonts w:hint="eastAsia" w:ascii="仿宋" w:hAnsi="仿宋" w:eastAsia="仿宋" w:cs="仿宋"/>
          <w:sz w:val="28"/>
          <w:szCs w:val="28"/>
          <w:highlight w:val="none"/>
          <w:lang w:eastAsia="zh-CN"/>
        </w:rPr>
        <w:t>被评价部门</w:t>
      </w:r>
      <w:r>
        <w:rPr>
          <w:rFonts w:hint="eastAsia" w:ascii="仿宋" w:hAnsi="仿宋" w:eastAsia="仿宋" w:cs="仿宋"/>
          <w:sz w:val="28"/>
          <w:szCs w:val="28"/>
          <w:highlight w:val="none"/>
        </w:rPr>
        <w:t>提供的资料进行审核，重点对</w:t>
      </w:r>
      <w:r>
        <w:rPr>
          <w:rFonts w:hint="eastAsia" w:ascii="仿宋" w:hAnsi="仿宋" w:eastAsia="仿宋" w:cs="仿宋"/>
          <w:sz w:val="28"/>
          <w:szCs w:val="28"/>
          <w:highlight w:val="none"/>
          <w:lang w:eastAsia="zh-CN"/>
        </w:rPr>
        <w:t>部门的目标设定、预算执行及管理、资产管理、职责履行、相关项目资料</w:t>
      </w:r>
      <w:r>
        <w:rPr>
          <w:rFonts w:hint="eastAsia" w:ascii="仿宋" w:hAnsi="仿宋" w:eastAsia="仿宋" w:cs="仿宋"/>
          <w:sz w:val="28"/>
          <w:szCs w:val="28"/>
          <w:highlight w:val="none"/>
        </w:rPr>
        <w:t>等进行复核，</w:t>
      </w:r>
      <w:r>
        <w:rPr>
          <w:rFonts w:hint="eastAsia" w:ascii="仿宋" w:hAnsi="仿宋" w:eastAsia="仿宋" w:cs="仿宋"/>
          <w:sz w:val="28"/>
          <w:szCs w:val="28"/>
          <w:highlight w:val="none"/>
          <w:lang w:eastAsia="zh-CN"/>
        </w:rPr>
        <w:t>并实地勘察部门工作完成情况、项目实施情况</w:t>
      </w:r>
      <w:r>
        <w:rPr>
          <w:rFonts w:hint="eastAsia" w:ascii="仿宋" w:hAnsi="仿宋" w:eastAsia="仿宋" w:cs="仿宋"/>
          <w:sz w:val="28"/>
          <w:szCs w:val="28"/>
          <w:highlight w:val="none"/>
        </w:rPr>
        <w:t>；第三，评价组</w:t>
      </w:r>
      <w:r>
        <w:rPr>
          <w:rFonts w:hint="eastAsia" w:ascii="仿宋" w:hAnsi="仿宋" w:eastAsia="仿宋" w:cs="仿宋"/>
          <w:sz w:val="28"/>
          <w:szCs w:val="28"/>
          <w:highlight w:val="none"/>
          <w:lang w:val="en-US" w:eastAsia="zh-CN"/>
        </w:rPr>
        <w:t>对临猗县老干部局履职所针对的受益人群</w:t>
      </w:r>
      <w:r>
        <w:rPr>
          <w:rFonts w:hint="eastAsia" w:ascii="仿宋" w:hAnsi="仿宋" w:eastAsia="仿宋" w:cs="仿宋"/>
          <w:sz w:val="28"/>
          <w:szCs w:val="28"/>
          <w:highlight w:val="none"/>
        </w:rPr>
        <w:t>进行问卷调查。</w:t>
      </w:r>
    </w:p>
    <w:p>
      <w:pPr>
        <w:spacing w:line="56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评价组根据搜集和整理的相关数据及实地核查情况，按照评价标准，对各项指标进行初步计算和打分。</w:t>
      </w:r>
    </w:p>
    <w:p>
      <w:pPr>
        <w:spacing w:line="560" w:lineRule="exact"/>
        <w:rPr>
          <w:rFonts w:ascii="仿宋" w:hAnsi="仿宋" w:eastAsia="仿宋" w:cs="仿宋"/>
          <w:sz w:val="28"/>
          <w:szCs w:val="28"/>
          <w:highlight w:val="none"/>
        </w:rPr>
      </w:pPr>
      <w:r>
        <w:rPr>
          <w:rFonts w:hint="eastAsia" w:ascii="仿宋" w:hAnsi="仿宋" w:eastAsia="仿宋" w:cs="仿宋"/>
          <w:sz w:val="28"/>
          <w:szCs w:val="28"/>
          <w:highlight w:val="none"/>
        </w:rPr>
        <w:t xml:space="preserve">   （3）报告撰写提交阶段（20</w:t>
      </w:r>
      <w:r>
        <w:rPr>
          <w:rFonts w:hint="eastAsia" w:ascii="仿宋" w:hAnsi="仿宋" w:eastAsia="仿宋" w:cs="仿宋"/>
          <w:sz w:val="28"/>
          <w:szCs w:val="28"/>
          <w:highlight w:val="none"/>
          <w:lang w:val="en-US" w:eastAsia="zh-CN"/>
        </w:rPr>
        <w:t>21</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10</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12</w:t>
      </w:r>
      <w:r>
        <w:rPr>
          <w:rFonts w:hint="eastAsia" w:ascii="仿宋" w:hAnsi="仿宋" w:eastAsia="仿宋" w:cs="仿宋"/>
          <w:sz w:val="28"/>
          <w:szCs w:val="28"/>
          <w:highlight w:val="none"/>
        </w:rPr>
        <w:t>日—</w:t>
      </w:r>
      <w:r>
        <w:rPr>
          <w:rFonts w:hint="eastAsia" w:ascii="仿宋" w:hAnsi="仿宋" w:eastAsia="仿宋" w:cs="仿宋"/>
          <w:sz w:val="28"/>
          <w:szCs w:val="28"/>
          <w:highlight w:val="none"/>
          <w:lang w:val="en-US" w:eastAsia="zh-CN"/>
        </w:rPr>
        <w:t>10</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20</w:t>
      </w:r>
      <w:r>
        <w:rPr>
          <w:rFonts w:hint="eastAsia" w:ascii="仿宋" w:hAnsi="仿宋" w:eastAsia="仿宋" w:cs="仿宋"/>
          <w:sz w:val="28"/>
          <w:szCs w:val="28"/>
          <w:highlight w:val="none"/>
        </w:rPr>
        <w:t>日）</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评价组整理、综合分析</w:t>
      </w:r>
      <w:r>
        <w:rPr>
          <w:rFonts w:hint="eastAsia" w:ascii="仿宋" w:hAnsi="仿宋" w:eastAsia="仿宋" w:cs="仿宋"/>
          <w:sz w:val="28"/>
          <w:szCs w:val="28"/>
          <w:highlight w:val="none"/>
          <w:lang w:eastAsia="zh-CN"/>
        </w:rPr>
        <w:t>部门</w:t>
      </w:r>
      <w:r>
        <w:rPr>
          <w:rFonts w:hint="eastAsia" w:ascii="仿宋" w:hAnsi="仿宋" w:eastAsia="仿宋" w:cs="仿宋"/>
          <w:sz w:val="28"/>
          <w:szCs w:val="28"/>
          <w:highlight w:val="none"/>
        </w:rPr>
        <w:t>相关信息，根据评价指标体系、评价标准和评价方法，对评价对象的绩效情况进行全面的定量、定性分析和综合评价，并提炼结论撰写绩效评价报告，提交</w:t>
      </w:r>
      <w:r>
        <w:rPr>
          <w:rFonts w:hint="eastAsia" w:ascii="仿宋" w:hAnsi="仿宋" w:eastAsia="仿宋" w:cs="仿宋"/>
          <w:sz w:val="28"/>
          <w:szCs w:val="28"/>
          <w:highlight w:val="none"/>
          <w:lang w:val="en-US" w:eastAsia="zh-CN"/>
        </w:rPr>
        <w:t>临猗县财政局</w:t>
      </w:r>
      <w:r>
        <w:rPr>
          <w:rFonts w:hint="eastAsia" w:ascii="仿宋" w:hAnsi="仿宋" w:eastAsia="仿宋" w:cs="仿宋"/>
          <w:sz w:val="28"/>
          <w:szCs w:val="28"/>
          <w:highlight w:val="none"/>
        </w:rPr>
        <w:t>征求意见，根据</w:t>
      </w:r>
      <w:r>
        <w:rPr>
          <w:rFonts w:hint="eastAsia" w:ascii="仿宋" w:hAnsi="仿宋" w:eastAsia="仿宋" w:cs="仿宋"/>
          <w:sz w:val="28"/>
          <w:szCs w:val="28"/>
          <w:highlight w:val="none"/>
          <w:lang w:val="en-US" w:eastAsia="zh-CN"/>
        </w:rPr>
        <w:t>临猗县</w:t>
      </w:r>
      <w:r>
        <w:rPr>
          <w:rFonts w:hint="eastAsia" w:ascii="仿宋" w:hAnsi="仿宋" w:eastAsia="仿宋" w:cs="仿宋"/>
          <w:sz w:val="28"/>
          <w:szCs w:val="28"/>
          <w:highlight w:val="none"/>
          <w:lang w:eastAsia="zh-CN"/>
        </w:rPr>
        <w:t>财政局</w:t>
      </w:r>
      <w:r>
        <w:rPr>
          <w:rFonts w:hint="eastAsia" w:ascii="仿宋" w:hAnsi="仿宋" w:eastAsia="仿宋" w:cs="仿宋"/>
          <w:sz w:val="28"/>
          <w:szCs w:val="28"/>
          <w:highlight w:val="none"/>
        </w:rPr>
        <w:t>专家审核意见修改绩效评价报告</w:t>
      </w:r>
      <w:r>
        <w:rPr>
          <w:rFonts w:hint="eastAsia" w:ascii="仿宋" w:hAnsi="仿宋" w:eastAsia="仿宋" w:cs="仿宋"/>
          <w:sz w:val="28"/>
          <w:szCs w:val="28"/>
          <w:highlight w:val="none"/>
          <w:lang w:eastAsia="zh-CN"/>
        </w:rPr>
        <w:t>。</w:t>
      </w:r>
      <w:bookmarkEnd w:id="46"/>
    </w:p>
    <w:p>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outlineLvl w:val="0"/>
        <w:rPr>
          <w:rFonts w:hint="eastAsia" w:ascii="仿宋" w:hAnsi="仿宋" w:eastAsia="仿宋" w:cs="仿宋"/>
          <w:b/>
          <w:sz w:val="28"/>
          <w:szCs w:val="28"/>
          <w:highlight w:val="none"/>
          <w:lang w:eastAsia="zh-CN"/>
        </w:rPr>
      </w:pPr>
      <w:r>
        <w:rPr>
          <w:rFonts w:hint="eastAsia" w:ascii="仿宋" w:hAnsi="仿宋" w:eastAsia="仿宋" w:cs="仿宋"/>
          <w:b/>
          <w:sz w:val="28"/>
          <w:szCs w:val="28"/>
          <w:highlight w:val="none"/>
          <w:lang w:eastAsia="zh-CN"/>
        </w:rPr>
        <w:t>三</w:t>
      </w:r>
      <w:r>
        <w:rPr>
          <w:rFonts w:hint="eastAsia" w:ascii="仿宋" w:hAnsi="仿宋" w:eastAsia="仿宋" w:cs="仿宋"/>
          <w:b/>
          <w:sz w:val="28"/>
          <w:szCs w:val="28"/>
          <w:highlight w:val="none"/>
        </w:rPr>
        <w:t>、绩效评价指标</w:t>
      </w:r>
      <w:r>
        <w:rPr>
          <w:rFonts w:hint="eastAsia" w:ascii="仿宋" w:hAnsi="仿宋" w:eastAsia="仿宋" w:cs="仿宋"/>
          <w:b/>
          <w:sz w:val="28"/>
          <w:szCs w:val="28"/>
          <w:highlight w:val="none"/>
          <w:lang w:eastAsia="zh-CN"/>
        </w:rPr>
        <w:t>体系</w:t>
      </w:r>
      <w:bookmarkStart w:id="48" w:name="_Toc28008"/>
      <w:bookmarkStart w:id="49" w:name="_Toc514670444"/>
    </w:p>
    <w:p>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outlineLvl w:val="1"/>
        <w:rPr>
          <w:rFonts w:hint="eastAsia" w:ascii="仿宋" w:hAnsi="仿宋" w:eastAsia="仿宋" w:cs="仿宋"/>
          <w:b/>
          <w:bCs/>
          <w:sz w:val="28"/>
          <w:szCs w:val="28"/>
          <w:highlight w:val="none"/>
        </w:rPr>
      </w:pPr>
      <w:bookmarkStart w:id="50" w:name="_Toc29707_WPSOffice_Level2"/>
      <w:bookmarkStart w:id="51" w:name="_Toc28649"/>
      <w:bookmarkStart w:id="52" w:name="_Toc19342_WPSOffice_Level2"/>
      <w:bookmarkStart w:id="53" w:name="_Toc25675_WPSOffice_Level2"/>
      <w:bookmarkStart w:id="54" w:name="_Toc16397"/>
      <w:r>
        <w:rPr>
          <w:rFonts w:hint="eastAsia" w:ascii="仿宋" w:hAnsi="仿宋" w:eastAsia="仿宋" w:cs="仿宋"/>
          <w:b/>
          <w:bCs/>
          <w:sz w:val="28"/>
          <w:szCs w:val="28"/>
          <w:highlight w:val="none"/>
          <w:lang w:eastAsia="zh-CN"/>
        </w:rPr>
        <w:t>（一）</w:t>
      </w:r>
      <w:r>
        <w:rPr>
          <w:rFonts w:hint="eastAsia" w:ascii="仿宋" w:hAnsi="仿宋" w:eastAsia="仿宋" w:cs="仿宋"/>
          <w:b/>
          <w:bCs/>
          <w:sz w:val="28"/>
          <w:szCs w:val="28"/>
          <w:highlight w:val="none"/>
        </w:rPr>
        <w:t>指标体系设计思路</w:t>
      </w:r>
      <w:bookmarkEnd w:id="48"/>
      <w:bookmarkEnd w:id="49"/>
      <w:bookmarkEnd w:id="50"/>
      <w:bookmarkEnd w:id="51"/>
      <w:bookmarkEnd w:id="52"/>
      <w:bookmarkEnd w:id="53"/>
      <w:bookmarkEnd w:id="54"/>
    </w:p>
    <w:p>
      <w:pPr>
        <w:spacing w:line="560" w:lineRule="exact"/>
        <w:ind w:firstLine="560" w:firstLineChars="200"/>
        <w:rPr>
          <w:rFonts w:hint="eastAsia" w:ascii="仿宋" w:hAnsi="仿宋" w:eastAsia="仿宋" w:cs="仿宋"/>
          <w:b w:val="0"/>
          <w:bCs w:val="0"/>
          <w:sz w:val="28"/>
          <w:szCs w:val="28"/>
          <w:highlight w:val="none"/>
        </w:rPr>
      </w:pPr>
      <w:r>
        <w:rPr>
          <w:rFonts w:hint="eastAsia" w:ascii="仿宋" w:hAnsi="仿宋" w:eastAsia="仿宋" w:cs="仿宋"/>
          <w:bCs/>
          <w:sz w:val="28"/>
          <w:szCs w:val="28"/>
        </w:rPr>
        <w:t>根据绩效评价的基本原理、原则和项目特点，结合绩效目标，根据</w:t>
      </w:r>
      <w:r>
        <w:rPr>
          <w:rFonts w:hint="eastAsia" w:ascii="仿宋" w:hAnsi="仿宋" w:eastAsia="仿宋" w:cs="仿宋"/>
          <w:kern w:val="2"/>
          <w:sz w:val="28"/>
          <w:szCs w:val="28"/>
          <w:lang w:val="en-US" w:eastAsia="zh-CN" w:bidi="ar-SA"/>
        </w:rPr>
        <w:t>《项目支出绩效评价管理办法》（财预〔2020〕10号）</w:t>
      </w:r>
      <w:r>
        <w:rPr>
          <w:rFonts w:hint="eastAsia" w:ascii="仿宋" w:hAnsi="仿宋" w:eastAsia="仿宋" w:cs="仿宋"/>
          <w:bCs/>
          <w:sz w:val="28"/>
          <w:szCs w:val="28"/>
        </w:rPr>
        <w:t>等相关文件规定</w:t>
      </w:r>
      <w:r>
        <w:rPr>
          <w:rFonts w:hint="eastAsia" w:ascii="仿宋" w:hAnsi="仿宋" w:eastAsia="仿宋" w:cs="仿宋"/>
          <w:bCs/>
          <w:sz w:val="28"/>
          <w:szCs w:val="28"/>
          <w:lang w:eastAsia="zh-CN"/>
        </w:rPr>
        <w:t>，</w:t>
      </w:r>
      <w:r>
        <w:rPr>
          <w:rFonts w:hint="eastAsia" w:ascii="仿宋" w:hAnsi="仿宋" w:eastAsia="仿宋" w:cs="仿宋"/>
          <w:bCs/>
          <w:sz w:val="28"/>
          <w:szCs w:val="28"/>
          <w:lang w:val="en-US" w:eastAsia="zh-CN"/>
        </w:rPr>
        <w:t>参考山西省财政厅绩效评价实施方案中整体支出绩效评价框架</w:t>
      </w:r>
      <w:r>
        <w:rPr>
          <w:rFonts w:hint="eastAsia" w:ascii="仿宋" w:hAnsi="仿宋" w:eastAsia="仿宋" w:cs="仿宋"/>
          <w:b w:val="0"/>
          <w:bCs w:val="0"/>
          <w:sz w:val="28"/>
          <w:szCs w:val="28"/>
          <w:highlight w:val="none"/>
        </w:rPr>
        <w:t>，按照“</w:t>
      </w:r>
      <w:r>
        <w:rPr>
          <w:rFonts w:hint="eastAsia" w:ascii="仿宋" w:hAnsi="仿宋" w:eastAsia="仿宋" w:cs="仿宋"/>
          <w:b w:val="0"/>
          <w:bCs w:val="0"/>
          <w:sz w:val="28"/>
          <w:szCs w:val="28"/>
          <w:highlight w:val="none"/>
          <w:lang w:val="en-US" w:eastAsia="zh-CN"/>
        </w:rPr>
        <w:t>履职效能</w:t>
      </w:r>
      <w:r>
        <w:rPr>
          <w:rFonts w:hint="eastAsia" w:ascii="仿宋" w:hAnsi="仿宋" w:eastAsia="仿宋" w:cs="仿宋"/>
          <w:b w:val="0"/>
          <w:bCs w:val="0"/>
          <w:sz w:val="28"/>
          <w:szCs w:val="28"/>
          <w:highlight w:val="none"/>
        </w:rPr>
        <w:t>-</w:t>
      </w:r>
      <w:r>
        <w:rPr>
          <w:rFonts w:hint="eastAsia" w:ascii="仿宋" w:hAnsi="仿宋" w:eastAsia="仿宋" w:cs="仿宋"/>
          <w:b w:val="0"/>
          <w:bCs w:val="0"/>
          <w:sz w:val="28"/>
          <w:szCs w:val="28"/>
          <w:highlight w:val="none"/>
          <w:lang w:val="en-US" w:eastAsia="zh-CN"/>
        </w:rPr>
        <w:t>管理效率</w:t>
      </w:r>
      <w:r>
        <w:rPr>
          <w:rFonts w:hint="eastAsia" w:ascii="仿宋" w:hAnsi="仿宋" w:eastAsia="仿宋" w:cs="仿宋"/>
          <w:b w:val="0"/>
          <w:bCs w:val="0"/>
          <w:sz w:val="28"/>
          <w:szCs w:val="28"/>
          <w:highlight w:val="none"/>
        </w:rPr>
        <w:t>-</w:t>
      </w:r>
      <w:r>
        <w:rPr>
          <w:rFonts w:hint="eastAsia" w:ascii="仿宋" w:hAnsi="仿宋" w:eastAsia="仿宋" w:cs="仿宋"/>
          <w:b w:val="0"/>
          <w:bCs w:val="0"/>
          <w:sz w:val="28"/>
          <w:szCs w:val="28"/>
          <w:highlight w:val="none"/>
          <w:lang w:val="en-US" w:eastAsia="zh-CN"/>
        </w:rPr>
        <w:t>社会效应</w:t>
      </w:r>
      <w:r>
        <w:rPr>
          <w:rFonts w:hint="eastAsia" w:ascii="仿宋" w:hAnsi="仿宋" w:eastAsia="仿宋" w:cs="仿宋"/>
          <w:b w:val="0"/>
          <w:bCs w:val="0"/>
          <w:sz w:val="28"/>
          <w:szCs w:val="28"/>
          <w:highlight w:val="none"/>
        </w:rPr>
        <w:t>-</w:t>
      </w:r>
      <w:r>
        <w:rPr>
          <w:rFonts w:hint="eastAsia" w:ascii="仿宋" w:hAnsi="仿宋" w:eastAsia="仿宋" w:cs="仿宋"/>
          <w:b w:val="0"/>
          <w:bCs w:val="0"/>
          <w:sz w:val="28"/>
          <w:szCs w:val="28"/>
          <w:highlight w:val="none"/>
          <w:lang w:val="en-US" w:eastAsia="zh-CN"/>
        </w:rPr>
        <w:t>可持续性</w:t>
      </w:r>
      <w:r>
        <w:rPr>
          <w:rFonts w:hint="eastAsia" w:ascii="仿宋" w:hAnsi="仿宋" w:eastAsia="仿宋" w:cs="仿宋"/>
          <w:b w:val="0"/>
          <w:bCs w:val="0"/>
          <w:sz w:val="28"/>
          <w:szCs w:val="28"/>
          <w:highlight w:val="none"/>
        </w:rPr>
        <w:t>”的逻辑思路对绩效目标进行分解，结合计划标准、</w:t>
      </w:r>
      <w:r>
        <w:rPr>
          <w:rFonts w:hint="eastAsia" w:ascii="仿宋" w:hAnsi="仿宋" w:eastAsia="仿宋" w:cs="仿宋"/>
          <w:b w:val="0"/>
          <w:bCs w:val="0"/>
          <w:sz w:val="28"/>
          <w:szCs w:val="28"/>
          <w:highlight w:val="none"/>
          <w:lang w:eastAsia="zh-CN"/>
        </w:rPr>
        <w:t>通用标准、</w:t>
      </w:r>
      <w:r>
        <w:rPr>
          <w:rFonts w:hint="eastAsia" w:ascii="仿宋" w:hAnsi="仿宋" w:eastAsia="仿宋" w:cs="仿宋"/>
          <w:b w:val="0"/>
          <w:bCs w:val="0"/>
          <w:sz w:val="28"/>
          <w:szCs w:val="28"/>
          <w:highlight w:val="none"/>
        </w:rPr>
        <w:t>历史标准等制定指标目标值，形成</w:t>
      </w:r>
      <w:r>
        <w:rPr>
          <w:rFonts w:hint="eastAsia" w:ascii="仿宋" w:hAnsi="仿宋" w:eastAsia="仿宋" w:cs="仿宋"/>
          <w:b w:val="0"/>
          <w:bCs w:val="0"/>
          <w:sz w:val="28"/>
          <w:szCs w:val="28"/>
          <w:highlight w:val="none"/>
          <w:lang w:eastAsia="zh-CN"/>
        </w:rPr>
        <w:t>临猗县老干部局</w:t>
      </w:r>
      <w:r>
        <w:rPr>
          <w:rFonts w:hint="eastAsia" w:ascii="仿宋" w:hAnsi="仿宋" w:eastAsia="仿宋" w:cs="仿宋"/>
          <w:b w:val="0"/>
          <w:bCs w:val="0"/>
          <w:sz w:val="28"/>
          <w:szCs w:val="28"/>
          <w:highlight w:val="none"/>
          <w:lang w:val="en-US" w:eastAsia="zh-CN"/>
        </w:rPr>
        <w:t>2020</w:t>
      </w:r>
      <w:r>
        <w:rPr>
          <w:rFonts w:hint="eastAsia" w:ascii="仿宋" w:hAnsi="仿宋" w:eastAsia="仿宋" w:cs="仿宋"/>
          <w:b w:val="0"/>
          <w:bCs w:val="0"/>
          <w:sz w:val="28"/>
          <w:szCs w:val="28"/>
          <w:highlight w:val="none"/>
        </w:rPr>
        <w:t>年</w:t>
      </w:r>
      <w:r>
        <w:rPr>
          <w:rFonts w:hint="eastAsia" w:ascii="仿宋" w:hAnsi="仿宋" w:eastAsia="仿宋" w:cs="仿宋"/>
          <w:b w:val="0"/>
          <w:bCs w:val="0"/>
          <w:sz w:val="28"/>
          <w:szCs w:val="28"/>
          <w:highlight w:val="none"/>
          <w:lang w:eastAsia="zh-CN"/>
        </w:rPr>
        <w:t>度整体支出</w:t>
      </w:r>
      <w:r>
        <w:rPr>
          <w:rFonts w:hint="eastAsia" w:ascii="仿宋" w:hAnsi="仿宋" w:eastAsia="仿宋" w:cs="仿宋"/>
          <w:b w:val="0"/>
          <w:bCs w:val="0"/>
          <w:sz w:val="28"/>
          <w:szCs w:val="28"/>
          <w:highlight w:val="none"/>
        </w:rPr>
        <w:t>绩效评价指标评分</w:t>
      </w:r>
      <w:r>
        <w:rPr>
          <w:rFonts w:hint="eastAsia" w:ascii="仿宋" w:hAnsi="仿宋" w:eastAsia="仿宋" w:cs="仿宋"/>
          <w:b w:val="0"/>
          <w:bCs w:val="0"/>
          <w:sz w:val="28"/>
          <w:szCs w:val="28"/>
          <w:highlight w:val="none"/>
          <w:lang w:eastAsia="zh-CN"/>
        </w:rPr>
        <w:t>体系</w:t>
      </w:r>
      <w:r>
        <w:rPr>
          <w:rFonts w:hint="eastAsia" w:ascii="仿宋" w:hAnsi="仿宋" w:eastAsia="仿宋" w:cs="仿宋"/>
          <w:b w:val="0"/>
          <w:bCs w:val="0"/>
          <w:sz w:val="28"/>
          <w:szCs w:val="28"/>
          <w:highlight w:val="none"/>
        </w:rPr>
        <w:t>。</w:t>
      </w:r>
    </w:p>
    <w:p>
      <w:pPr>
        <w:spacing w:line="560" w:lineRule="exact"/>
        <w:ind w:firstLine="562" w:firstLineChars="200"/>
        <w:rPr>
          <w:rFonts w:ascii="仿宋" w:hAnsi="仿宋" w:eastAsia="仿宋" w:cs="仿宋"/>
          <w:b/>
          <w:bCs/>
          <w:sz w:val="28"/>
          <w:szCs w:val="28"/>
          <w:highlight w:val="none"/>
        </w:rPr>
      </w:pPr>
      <w:bookmarkStart w:id="55" w:name="_Toc14901_WPSOffice_Level2"/>
      <w:bookmarkStart w:id="56" w:name="_Toc9340_WPSOffice_Level2"/>
      <w:bookmarkStart w:id="57" w:name="_Toc11719_WPSOffice_Level2"/>
      <w:bookmarkStart w:id="58" w:name="_Toc17976_WPSOffice_Level2"/>
      <w:bookmarkStart w:id="59" w:name="_Toc8936_WPSOffice_Level2"/>
      <w:bookmarkStart w:id="60" w:name="_Toc16396_WPSOffice_Level2"/>
      <w:r>
        <w:rPr>
          <w:rFonts w:hint="eastAsia" w:ascii="仿宋" w:hAnsi="仿宋" w:eastAsia="仿宋" w:cs="仿宋"/>
          <w:b/>
          <w:bCs/>
          <w:sz w:val="28"/>
          <w:szCs w:val="28"/>
          <w:highlight w:val="none"/>
          <w:lang w:val="en-US" w:eastAsia="zh-CN"/>
        </w:rPr>
        <w:t>（二）</w:t>
      </w:r>
      <w:r>
        <w:rPr>
          <w:rFonts w:hint="eastAsia" w:ascii="仿宋" w:hAnsi="仿宋" w:eastAsia="仿宋" w:cs="仿宋"/>
          <w:b/>
          <w:bCs/>
          <w:sz w:val="28"/>
          <w:szCs w:val="28"/>
          <w:highlight w:val="none"/>
        </w:rPr>
        <w:t>评价指标设置</w:t>
      </w:r>
      <w:bookmarkEnd w:id="55"/>
      <w:bookmarkEnd w:id="56"/>
      <w:bookmarkEnd w:id="57"/>
      <w:bookmarkEnd w:id="58"/>
      <w:bookmarkEnd w:id="59"/>
      <w:bookmarkEnd w:id="60"/>
    </w:p>
    <w:p>
      <w:pPr>
        <w:pStyle w:val="2"/>
        <w:spacing w:after="0" w:line="560" w:lineRule="exact"/>
        <w:ind w:firstLine="560" w:firstLineChars="200"/>
        <w:rPr>
          <w:rFonts w:ascii="仿宋" w:hAnsi="仿宋" w:eastAsia="仿宋" w:cs="仿宋"/>
          <w:bCs/>
          <w:sz w:val="28"/>
          <w:szCs w:val="28"/>
          <w:highlight w:val="none"/>
        </w:rPr>
      </w:pPr>
      <w:r>
        <w:rPr>
          <w:rFonts w:hint="eastAsia" w:ascii="仿宋" w:hAnsi="仿宋" w:eastAsia="仿宋" w:cs="仿宋"/>
          <w:bCs/>
          <w:sz w:val="28"/>
          <w:szCs w:val="28"/>
          <w:highlight w:val="none"/>
          <w:lang w:eastAsia="zh-CN"/>
        </w:rPr>
        <w:t>我们结合</w:t>
      </w:r>
      <w:r>
        <w:rPr>
          <w:rFonts w:hint="eastAsia" w:ascii="仿宋" w:hAnsi="仿宋" w:eastAsia="仿宋" w:cs="仿宋"/>
          <w:bCs/>
          <w:sz w:val="28"/>
          <w:szCs w:val="28"/>
          <w:highlight w:val="none"/>
          <w:lang w:val="en-US" w:eastAsia="zh-CN"/>
        </w:rPr>
        <w:t>临猗县老干部局2020年</w:t>
      </w:r>
      <w:r>
        <w:rPr>
          <w:rFonts w:hint="eastAsia" w:ascii="仿宋" w:hAnsi="仿宋" w:eastAsia="仿宋" w:cs="仿宋"/>
          <w:bCs/>
          <w:sz w:val="28"/>
          <w:szCs w:val="28"/>
          <w:highlight w:val="none"/>
          <w:lang w:eastAsia="zh-CN"/>
        </w:rPr>
        <w:t>度整体支出项目的特点，在设置</w:t>
      </w:r>
      <w:r>
        <w:rPr>
          <w:rFonts w:hint="eastAsia" w:ascii="仿宋" w:hAnsi="仿宋" w:eastAsia="仿宋" w:cs="仿宋"/>
          <w:bCs/>
          <w:sz w:val="28"/>
          <w:szCs w:val="28"/>
          <w:highlight w:val="none"/>
        </w:rPr>
        <w:t>评价指标时进行了如下考虑：</w:t>
      </w:r>
    </w:p>
    <w:p>
      <w:pPr>
        <w:spacing w:line="560" w:lineRule="exact"/>
        <w:ind w:firstLine="562" w:firstLineChars="200"/>
        <w:rPr>
          <w:rFonts w:ascii="仿宋" w:hAnsi="仿宋" w:eastAsia="仿宋" w:cs="仿宋"/>
          <w:b/>
          <w:bCs/>
          <w:sz w:val="28"/>
          <w:szCs w:val="28"/>
          <w:highlight w:val="none"/>
        </w:rPr>
      </w:pPr>
      <w:bookmarkStart w:id="61" w:name="_Toc31629_WPSOffice_Level3"/>
      <w:r>
        <w:rPr>
          <w:rFonts w:hint="eastAsia" w:ascii="仿宋" w:hAnsi="仿宋" w:eastAsia="仿宋" w:cs="仿宋"/>
          <w:b/>
          <w:bCs/>
          <w:sz w:val="28"/>
          <w:szCs w:val="28"/>
          <w:highlight w:val="none"/>
          <w:lang w:val="en-US" w:eastAsia="zh-CN"/>
        </w:rPr>
        <w:t>1.履职效能</w:t>
      </w:r>
      <w:r>
        <w:rPr>
          <w:rFonts w:hint="eastAsia" w:ascii="仿宋" w:hAnsi="仿宋" w:eastAsia="仿宋" w:cs="仿宋"/>
          <w:b/>
          <w:bCs/>
          <w:sz w:val="28"/>
          <w:szCs w:val="28"/>
          <w:highlight w:val="none"/>
        </w:rPr>
        <w:t>指标设置的考虑</w:t>
      </w:r>
      <w:bookmarkEnd w:id="61"/>
    </w:p>
    <w:p>
      <w:pPr>
        <w:spacing w:line="560" w:lineRule="exact"/>
        <w:ind w:firstLine="560" w:firstLineChars="200"/>
        <w:rPr>
          <w:rFonts w:hint="default" w:ascii="仿宋" w:hAnsi="仿宋" w:eastAsia="仿宋" w:cs="仿宋"/>
          <w:bCs/>
          <w:sz w:val="28"/>
          <w:szCs w:val="28"/>
          <w:highlight w:val="none"/>
          <w:lang w:val="en-US" w:eastAsia="zh-CN"/>
        </w:rPr>
      </w:pPr>
      <w:r>
        <w:rPr>
          <w:rFonts w:hint="eastAsia" w:ascii="仿宋" w:hAnsi="仿宋" w:eastAsia="仿宋" w:cs="仿宋"/>
          <w:bCs/>
          <w:sz w:val="28"/>
          <w:szCs w:val="28"/>
          <w:highlight w:val="none"/>
          <w:lang w:val="en-US" w:eastAsia="zh-CN"/>
        </w:rPr>
        <w:t>临猗县老干部局2020</w:t>
      </w:r>
      <w:r>
        <w:rPr>
          <w:rFonts w:hint="eastAsia" w:ascii="仿宋" w:hAnsi="仿宋" w:eastAsia="仿宋" w:cs="仿宋"/>
          <w:bCs/>
          <w:sz w:val="28"/>
          <w:szCs w:val="28"/>
          <w:highlight w:val="none"/>
        </w:rPr>
        <w:t>年度部门整体支出在</w:t>
      </w:r>
      <w:r>
        <w:rPr>
          <w:rFonts w:hint="eastAsia" w:ascii="仿宋" w:hAnsi="仿宋" w:eastAsia="仿宋" w:cs="仿宋"/>
          <w:bCs/>
          <w:sz w:val="28"/>
          <w:szCs w:val="28"/>
          <w:highlight w:val="none"/>
          <w:lang w:val="en-US" w:eastAsia="zh-CN"/>
        </w:rPr>
        <w:t>履职效能</w:t>
      </w:r>
      <w:r>
        <w:rPr>
          <w:rFonts w:hint="eastAsia" w:ascii="仿宋" w:hAnsi="仿宋" w:eastAsia="仿宋" w:cs="仿宋"/>
          <w:bCs/>
          <w:sz w:val="28"/>
          <w:szCs w:val="28"/>
          <w:highlight w:val="none"/>
        </w:rPr>
        <w:t>指标</w:t>
      </w:r>
      <w:r>
        <w:rPr>
          <w:rFonts w:hint="eastAsia" w:ascii="仿宋" w:hAnsi="仿宋" w:eastAsia="仿宋" w:cs="仿宋"/>
          <w:bCs/>
          <w:sz w:val="28"/>
          <w:szCs w:val="28"/>
          <w:highlight w:val="none"/>
          <w:lang w:eastAsia="zh-CN"/>
        </w:rPr>
        <w:t>的设置，</w:t>
      </w:r>
      <w:r>
        <w:rPr>
          <w:rFonts w:hint="eastAsia" w:ascii="仿宋" w:hAnsi="仿宋" w:eastAsia="仿宋" w:cs="仿宋"/>
          <w:bCs/>
          <w:sz w:val="28"/>
          <w:szCs w:val="28"/>
          <w:highlight w:val="none"/>
          <w:lang w:val="en-US" w:eastAsia="zh-CN"/>
        </w:rPr>
        <w:t>主要是在</w:t>
      </w:r>
      <w:r>
        <w:rPr>
          <w:rFonts w:hint="eastAsia" w:ascii="仿宋" w:hAnsi="仿宋" w:eastAsia="仿宋" w:cs="仿宋"/>
          <w:bCs/>
          <w:sz w:val="28"/>
          <w:szCs w:val="28"/>
          <w:lang w:val="en-US" w:eastAsia="zh-CN"/>
        </w:rPr>
        <w:t>参考山西省财政厅绩效评价实施方案中整体支出绩效评价框架基础上</w:t>
      </w:r>
      <w:r>
        <w:rPr>
          <w:rFonts w:hint="eastAsia" w:ascii="仿宋" w:hAnsi="仿宋" w:eastAsia="仿宋" w:cs="仿宋"/>
          <w:bCs/>
          <w:sz w:val="28"/>
          <w:szCs w:val="28"/>
          <w:highlight w:val="none"/>
        </w:rPr>
        <w:t>，依据</w:t>
      </w:r>
      <w:r>
        <w:rPr>
          <w:rFonts w:hint="eastAsia" w:ascii="仿宋" w:hAnsi="仿宋" w:eastAsia="仿宋" w:cs="仿宋"/>
          <w:bCs/>
          <w:sz w:val="28"/>
          <w:szCs w:val="28"/>
          <w:highlight w:val="none"/>
          <w:lang w:val="en-US" w:eastAsia="zh-CN"/>
        </w:rPr>
        <w:t>部门自</w:t>
      </w:r>
      <w:r>
        <w:rPr>
          <w:rFonts w:hint="eastAsia" w:ascii="仿宋" w:hAnsi="仿宋" w:eastAsia="仿宋" w:cs="仿宋"/>
          <w:bCs/>
          <w:sz w:val="28"/>
          <w:szCs w:val="28"/>
          <w:highlight w:val="none"/>
        </w:rPr>
        <w:t>身的特点</w:t>
      </w: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从工作目标设置及完成情况、核心业务能力水平实现程度、基础管理角度</w:t>
      </w:r>
      <w:r>
        <w:rPr>
          <w:rFonts w:hint="eastAsia" w:ascii="仿宋" w:hAnsi="仿宋" w:eastAsia="仿宋" w:cs="仿宋"/>
          <w:bCs/>
          <w:sz w:val="28"/>
          <w:szCs w:val="28"/>
          <w:highlight w:val="none"/>
        </w:rPr>
        <w:t>对</w:t>
      </w:r>
      <w:r>
        <w:rPr>
          <w:rFonts w:hint="eastAsia" w:ascii="仿宋" w:hAnsi="仿宋" w:eastAsia="仿宋" w:cs="仿宋"/>
          <w:bCs/>
          <w:sz w:val="28"/>
          <w:szCs w:val="28"/>
          <w:highlight w:val="none"/>
          <w:lang w:val="en-US" w:eastAsia="zh-CN"/>
        </w:rPr>
        <w:t>部门的履职效能</w:t>
      </w:r>
      <w:r>
        <w:rPr>
          <w:rFonts w:hint="eastAsia" w:ascii="仿宋" w:hAnsi="仿宋" w:eastAsia="仿宋" w:cs="仿宋"/>
          <w:bCs/>
          <w:sz w:val="28"/>
          <w:szCs w:val="28"/>
          <w:highlight w:val="none"/>
        </w:rPr>
        <w:t>的具体评价内容进行了编写</w:t>
      </w: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履职效能从工作目标设定、目标任务实现目标、核心业务能力、基础管理四个方面进行评价，共设置四个二级指标，十个三级指标。</w:t>
      </w:r>
    </w:p>
    <w:p>
      <w:pPr>
        <w:numPr>
          <w:ilvl w:val="0"/>
          <w:numId w:val="0"/>
        </w:numPr>
        <w:spacing w:line="560" w:lineRule="exact"/>
        <w:ind w:leftChars="200" w:firstLine="281" w:firstLineChars="100"/>
        <w:rPr>
          <w:rFonts w:hint="eastAsia" w:ascii="仿宋" w:hAnsi="仿宋" w:eastAsia="仿宋" w:cs="仿宋"/>
          <w:b/>
          <w:bCs/>
          <w:sz w:val="28"/>
          <w:szCs w:val="28"/>
          <w:highlight w:val="none"/>
        </w:rPr>
      </w:pPr>
      <w:bookmarkStart w:id="62" w:name="_Toc17239_WPSOffice_Level2"/>
      <w:bookmarkStart w:id="63" w:name="_Toc29424_WPSOffice_Level2"/>
      <w:bookmarkStart w:id="64" w:name="_Toc21590_WPSOffice_Level2"/>
      <w:bookmarkStart w:id="65" w:name="_Toc15428_WPSOffice_Level2"/>
      <w:bookmarkStart w:id="66" w:name="_Toc22551_WPSOffice_Level2"/>
      <w:bookmarkStart w:id="67" w:name="_Toc23754_WPSOffice_Level2"/>
      <w:r>
        <w:rPr>
          <w:rFonts w:hint="eastAsia" w:ascii="仿宋" w:hAnsi="仿宋" w:eastAsia="仿宋" w:cs="仿宋"/>
          <w:b/>
          <w:bCs/>
          <w:sz w:val="28"/>
          <w:szCs w:val="28"/>
          <w:highlight w:val="none"/>
          <w:lang w:val="en-US" w:eastAsia="zh-CN"/>
        </w:rPr>
        <w:t>2.管理效率</w:t>
      </w:r>
      <w:r>
        <w:rPr>
          <w:rFonts w:hint="eastAsia" w:ascii="仿宋" w:hAnsi="仿宋" w:eastAsia="仿宋" w:cs="仿宋"/>
          <w:b/>
          <w:bCs/>
          <w:sz w:val="28"/>
          <w:szCs w:val="28"/>
          <w:highlight w:val="none"/>
        </w:rPr>
        <w:t>指标设置的考虑</w:t>
      </w:r>
    </w:p>
    <w:p>
      <w:pPr>
        <w:pStyle w:val="2"/>
        <w:numPr>
          <w:ilvl w:val="0"/>
          <w:numId w:val="0"/>
        </w:numPr>
        <w:rPr>
          <w:rFonts w:hint="default" w:eastAsia="仿宋"/>
          <w:highlight w:val="none"/>
          <w:lang w:val="en-US" w:eastAsia="zh-CN"/>
        </w:rPr>
      </w:pPr>
      <w:r>
        <w:rPr>
          <w:rFonts w:hint="eastAsia"/>
          <w:highlight w:val="none"/>
          <w:lang w:val="en-US" w:eastAsia="zh-CN"/>
        </w:rPr>
        <w:t xml:space="preserve">   </w:t>
      </w:r>
      <w:r>
        <w:rPr>
          <w:rFonts w:hint="eastAsia" w:ascii="仿宋" w:hAnsi="仿宋" w:eastAsia="仿宋" w:cs="仿宋"/>
          <w:sz w:val="28"/>
          <w:szCs w:val="28"/>
          <w:highlight w:val="none"/>
          <w:lang w:val="en-US" w:eastAsia="zh-CN"/>
        </w:rPr>
        <w:t xml:space="preserve"> </w:t>
      </w:r>
      <w:r>
        <w:rPr>
          <w:rFonts w:hint="eastAsia" w:ascii="仿宋" w:hAnsi="仿宋" w:eastAsia="仿宋" w:cs="仿宋"/>
          <w:bCs/>
          <w:sz w:val="28"/>
          <w:szCs w:val="28"/>
          <w:highlight w:val="none"/>
          <w:lang w:val="en-US" w:eastAsia="zh-CN"/>
        </w:rPr>
        <w:t>临猗县老干部局2020</w:t>
      </w:r>
      <w:r>
        <w:rPr>
          <w:rFonts w:hint="eastAsia" w:ascii="仿宋" w:hAnsi="仿宋" w:eastAsia="仿宋" w:cs="仿宋"/>
          <w:sz w:val="28"/>
          <w:szCs w:val="28"/>
          <w:highlight w:val="none"/>
          <w:lang w:val="en-US" w:eastAsia="zh-CN"/>
        </w:rPr>
        <w:t>年度部门整体支出</w:t>
      </w:r>
      <w:r>
        <w:rPr>
          <w:rFonts w:hint="eastAsia" w:ascii="仿宋" w:hAnsi="仿宋" w:eastAsia="仿宋" w:cs="仿宋"/>
          <w:bCs/>
          <w:sz w:val="28"/>
          <w:szCs w:val="28"/>
          <w:highlight w:val="none"/>
          <w:lang w:val="en-US" w:eastAsia="zh-CN"/>
        </w:rPr>
        <w:t>管理效率指标的设置，主要是在</w:t>
      </w:r>
      <w:r>
        <w:rPr>
          <w:rFonts w:hint="eastAsia" w:ascii="仿宋" w:hAnsi="仿宋" w:eastAsia="仿宋" w:cs="仿宋"/>
          <w:bCs/>
          <w:sz w:val="28"/>
          <w:szCs w:val="28"/>
          <w:lang w:val="en-US" w:eastAsia="zh-CN"/>
        </w:rPr>
        <w:t>参考山西省财政厅绩效评价实施方案中整体支出绩效评价框架基础上</w:t>
      </w:r>
      <w:r>
        <w:rPr>
          <w:rFonts w:hint="eastAsia" w:ascii="仿宋" w:hAnsi="仿宋" w:eastAsia="仿宋" w:cs="仿宋"/>
          <w:bCs/>
          <w:sz w:val="28"/>
          <w:szCs w:val="28"/>
          <w:highlight w:val="none"/>
        </w:rPr>
        <w:t>，</w:t>
      </w:r>
      <w:r>
        <w:rPr>
          <w:rFonts w:hint="eastAsia" w:ascii="仿宋" w:hAnsi="仿宋" w:eastAsia="仿宋" w:cs="仿宋"/>
          <w:bCs/>
          <w:sz w:val="28"/>
          <w:szCs w:val="28"/>
          <w:highlight w:val="none"/>
          <w:lang w:val="en-US" w:eastAsia="zh-CN"/>
        </w:rPr>
        <w:t>从预算管理情况、财务管理情况、资产管理情况、政府采购情况及部门信息公开的角度</w:t>
      </w:r>
      <w:r>
        <w:rPr>
          <w:rFonts w:hint="eastAsia" w:ascii="仿宋" w:hAnsi="仿宋" w:eastAsia="仿宋" w:cs="仿宋"/>
          <w:bCs/>
          <w:sz w:val="28"/>
          <w:szCs w:val="28"/>
          <w:highlight w:val="none"/>
        </w:rPr>
        <w:t>对</w:t>
      </w:r>
      <w:r>
        <w:rPr>
          <w:rFonts w:hint="eastAsia" w:ascii="仿宋" w:hAnsi="仿宋" w:eastAsia="仿宋" w:cs="仿宋"/>
          <w:bCs/>
          <w:sz w:val="28"/>
          <w:szCs w:val="28"/>
          <w:highlight w:val="none"/>
          <w:lang w:val="en-US" w:eastAsia="zh-CN"/>
        </w:rPr>
        <w:t>该部门的管理效率</w:t>
      </w:r>
      <w:r>
        <w:rPr>
          <w:rFonts w:hint="eastAsia" w:ascii="仿宋" w:hAnsi="仿宋" w:eastAsia="仿宋" w:cs="仿宋"/>
          <w:bCs/>
          <w:sz w:val="28"/>
          <w:szCs w:val="28"/>
          <w:highlight w:val="none"/>
        </w:rPr>
        <w:t>的具体评价内容进行了编写</w:t>
      </w:r>
      <w:r>
        <w:rPr>
          <w:rFonts w:hint="eastAsia" w:ascii="仿宋" w:hAnsi="仿宋" w:eastAsia="仿宋" w:cs="仿宋"/>
          <w:bCs/>
          <w:sz w:val="28"/>
          <w:szCs w:val="28"/>
          <w:highlight w:val="none"/>
          <w:lang w:eastAsia="zh-CN"/>
        </w:rPr>
        <w:t>。</w:t>
      </w:r>
      <w:r>
        <w:rPr>
          <w:rFonts w:hint="eastAsia" w:ascii="仿宋" w:hAnsi="仿宋" w:eastAsia="仿宋" w:cs="仿宋"/>
          <w:bCs/>
          <w:sz w:val="28"/>
          <w:szCs w:val="28"/>
          <w:highlight w:val="none"/>
          <w:lang w:val="en-US" w:eastAsia="zh-CN"/>
        </w:rPr>
        <w:t>管理效率从预算管理、财务管理、资产管理、其他管理四个方面进行评价，共设置四个二级指标十一个三级指标。</w:t>
      </w:r>
    </w:p>
    <w:p>
      <w:pPr>
        <w:spacing w:line="560" w:lineRule="exact"/>
        <w:ind w:firstLine="562" w:firstLineChars="200"/>
        <w:rPr>
          <w:rFonts w:ascii="仿宋" w:hAnsi="仿宋" w:eastAsia="仿宋" w:cs="仿宋"/>
          <w:b/>
          <w:bCs/>
          <w:sz w:val="28"/>
          <w:szCs w:val="28"/>
          <w:highlight w:val="none"/>
        </w:rPr>
      </w:pPr>
      <w:bookmarkStart w:id="68" w:name="_Toc22132_WPSOffice_Level3"/>
      <w:r>
        <w:rPr>
          <w:rFonts w:hint="eastAsia" w:ascii="仿宋" w:hAnsi="仿宋" w:eastAsia="仿宋" w:cs="仿宋"/>
          <w:b/>
          <w:bCs/>
          <w:sz w:val="28"/>
          <w:szCs w:val="28"/>
          <w:highlight w:val="none"/>
          <w:lang w:val="en-US" w:eastAsia="zh-CN"/>
        </w:rPr>
        <w:t>3.社会效应</w:t>
      </w:r>
      <w:r>
        <w:rPr>
          <w:rFonts w:hint="eastAsia" w:ascii="仿宋" w:hAnsi="仿宋" w:eastAsia="仿宋" w:cs="仿宋"/>
          <w:b/>
          <w:bCs/>
          <w:sz w:val="28"/>
          <w:szCs w:val="28"/>
          <w:highlight w:val="none"/>
        </w:rPr>
        <w:t>指标设置的考虑</w:t>
      </w:r>
      <w:bookmarkEnd w:id="68"/>
    </w:p>
    <w:p>
      <w:pPr>
        <w:spacing w:line="560" w:lineRule="exact"/>
        <w:ind w:firstLine="560" w:firstLineChars="200"/>
        <w:rPr>
          <w:rFonts w:hint="default" w:ascii="仿宋" w:hAnsi="仿宋" w:eastAsia="仿宋" w:cs="仿宋"/>
          <w:sz w:val="28"/>
          <w:szCs w:val="28"/>
          <w:highlight w:val="none"/>
          <w:lang w:val="en-US" w:eastAsia="zh-CN"/>
        </w:rPr>
      </w:pPr>
      <w:r>
        <w:rPr>
          <w:rFonts w:hint="eastAsia" w:ascii="仿宋" w:hAnsi="仿宋" w:eastAsia="仿宋" w:cs="仿宋"/>
          <w:bCs/>
          <w:sz w:val="28"/>
          <w:szCs w:val="28"/>
          <w:highlight w:val="none"/>
          <w:lang w:val="en-US" w:eastAsia="zh-CN"/>
        </w:rPr>
        <w:t>临猗县老干部局2020</w:t>
      </w:r>
      <w:r>
        <w:rPr>
          <w:rFonts w:hint="eastAsia" w:ascii="仿宋" w:hAnsi="仿宋" w:eastAsia="仿宋" w:cs="仿宋"/>
          <w:sz w:val="28"/>
          <w:szCs w:val="28"/>
          <w:highlight w:val="none"/>
          <w:lang w:val="en-US" w:eastAsia="zh-CN"/>
        </w:rPr>
        <w:t>年</w:t>
      </w:r>
      <w:r>
        <w:rPr>
          <w:rFonts w:hint="eastAsia" w:ascii="仿宋" w:hAnsi="仿宋" w:eastAsia="仿宋" w:cs="仿宋"/>
          <w:sz w:val="28"/>
          <w:szCs w:val="28"/>
          <w:highlight w:val="none"/>
          <w:lang w:eastAsia="zh-CN"/>
        </w:rPr>
        <w:t>度部门整体支出</w:t>
      </w:r>
      <w:r>
        <w:rPr>
          <w:rFonts w:hint="eastAsia" w:ascii="仿宋" w:hAnsi="仿宋" w:eastAsia="仿宋" w:cs="仿宋"/>
          <w:sz w:val="28"/>
          <w:szCs w:val="28"/>
          <w:highlight w:val="none"/>
          <w:lang w:val="en-US" w:eastAsia="zh-CN"/>
        </w:rPr>
        <w:t>社会效应</w:t>
      </w:r>
      <w:r>
        <w:rPr>
          <w:rFonts w:hint="eastAsia" w:ascii="仿宋" w:hAnsi="仿宋" w:eastAsia="仿宋" w:cs="仿宋"/>
          <w:sz w:val="28"/>
          <w:szCs w:val="28"/>
          <w:highlight w:val="none"/>
          <w:lang w:eastAsia="zh-CN"/>
        </w:rPr>
        <w:t>指标</w:t>
      </w:r>
      <w:r>
        <w:rPr>
          <w:rFonts w:hint="eastAsia" w:ascii="仿宋" w:hAnsi="仿宋" w:eastAsia="仿宋" w:cs="仿宋"/>
          <w:sz w:val="28"/>
          <w:szCs w:val="28"/>
          <w:highlight w:val="none"/>
          <w:lang w:val="en-US" w:eastAsia="zh-CN"/>
        </w:rPr>
        <w:t>的设置，</w:t>
      </w:r>
      <w:r>
        <w:rPr>
          <w:rFonts w:hint="eastAsia" w:ascii="仿宋" w:hAnsi="仿宋" w:eastAsia="仿宋" w:cs="仿宋"/>
          <w:bCs/>
          <w:sz w:val="28"/>
          <w:szCs w:val="28"/>
          <w:highlight w:val="none"/>
          <w:lang w:val="en-US" w:eastAsia="zh-CN"/>
        </w:rPr>
        <w:t>主要是在</w:t>
      </w:r>
      <w:r>
        <w:rPr>
          <w:rFonts w:hint="eastAsia" w:ascii="仿宋" w:hAnsi="仿宋" w:eastAsia="仿宋" w:cs="仿宋"/>
          <w:bCs/>
          <w:sz w:val="28"/>
          <w:szCs w:val="28"/>
          <w:lang w:val="en-US" w:eastAsia="zh-CN"/>
        </w:rPr>
        <w:t>参考山西省财政厅绩效评价实施方案中整体支出绩效评价框架基础上</w:t>
      </w:r>
      <w:r>
        <w:rPr>
          <w:rFonts w:hint="eastAsia" w:ascii="仿宋" w:hAnsi="仿宋" w:eastAsia="仿宋" w:cs="仿宋"/>
          <w:bCs/>
          <w:sz w:val="28"/>
          <w:szCs w:val="28"/>
          <w:highlight w:val="none"/>
        </w:rPr>
        <w:t>，</w:t>
      </w:r>
      <w:r>
        <w:rPr>
          <w:rFonts w:hint="eastAsia" w:ascii="仿宋" w:hAnsi="仿宋" w:eastAsia="仿宋" w:cs="仿宋"/>
          <w:bCs/>
          <w:sz w:val="28"/>
          <w:szCs w:val="28"/>
          <w:highlight w:val="none"/>
          <w:lang w:val="en-US" w:eastAsia="zh-CN"/>
        </w:rPr>
        <w:t>从部门履职对经济社会的影响及相关方的满意程度的角度</w:t>
      </w:r>
      <w:r>
        <w:rPr>
          <w:rFonts w:hint="eastAsia" w:ascii="仿宋" w:hAnsi="仿宋" w:eastAsia="仿宋" w:cs="仿宋"/>
          <w:bCs/>
          <w:sz w:val="28"/>
          <w:szCs w:val="28"/>
          <w:highlight w:val="none"/>
        </w:rPr>
        <w:t>对</w:t>
      </w:r>
      <w:r>
        <w:rPr>
          <w:rFonts w:hint="eastAsia" w:ascii="仿宋" w:hAnsi="仿宋" w:eastAsia="仿宋" w:cs="仿宋"/>
          <w:bCs/>
          <w:sz w:val="28"/>
          <w:szCs w:val="28"/>
          <w:highlight w:val="none"/>
          <w:lang w:val="en-US" w:eastAsia="zh-CN"/>
        </w:rPr>
        <w:t>该部门的社会效应</w:t>
      </w:r>
      <w:r>
        <w:rPr>
          <w:rFonts w:hint="eastAsia" w:ascii="仿宋" w:hAnsi="仿宋" w:eastAsia="仿宋" w:cs="仿宋"/>
          <w:bCs/>
          <w:sz w:val="28"/>
          <w:szCs w:val="28"/>
          <w:highlight w:val="none"/>
        </w:rPr>
        <w:t>的具体评价内容进行了编写</w:t>
      </w:r>
      <w:r>
        <w:rPr>
          <w:rFonts w:hint="eastAsia" w:ascii="仿宋" w:hAnsi="仿宋" w:eastAsia="仿宋" w:cs="仿宋"/>
          <w:sz w:val="28"/>
          <w:szCs w:val="28"/>
          <w:highlight w:val="none"/>
          <w:lang w:val="en-US" w:eastAsia="zh-CN"/>
        </w:rPr>
        <w:t>。社会效应</w:t>
      </w:r>
      <w:r>
        <w:rPr>
          <w:rFonts w:hint="eastAsia" w:ascii="仿宋" w:hAnsi="仿宋" w:eastAsia="仿宋" w:cs="仿宋"/>
          <w:sz w:val="28"/>
          <w:szCs w:val="28"/>
          <w:highlight w:val="none"/>
          <w:lang w:eastAsia="zh-CN"/>
        </w:rPr>
        <w:t>从</w:t>
      </w:r>
      <w:r>
        <w:rPr>
          <w:rFonts w:hint="eastAsia" w:ascii="仿宋" w:hAnsi="仿宋" w:eastAsia="仿宋" w:cs="仿宋"/>
          <w:sz w:val="28"/>
          <w:szCs w:val="28"/>
          <w:highlight w:val="none"/>
          <w:lang w:val="en-US" w:eastAsia="zh-CN"/>
        </w:rPr>
        <w:t>社会影响、满意度两个方面进行评价，共设置两个二级指标五个三级指标。</w:t>
      </w:r>
    </w:p>
    <w:p>
      <w:pPr>
        <w:spacing w:line="560" w:lineRule="exact"/>
        <w:ind w:firstLine="562" w:firstLineChars="200"/>
        <w:rPr>
          <w:rFonts w:ascii="仿宋" w:hAnsi="仿宋" w:eastAsia="仿宋" w:cs="仿宋"/>
          <w:b/>
          <w:bCs/>
          <w:sz w:val="28"/>
          <w:szCs w:val="28"/>
          <w:highlight w:val="none"/>
        </w:rPr>
      </w:pPr>
      <w:r>
        <w:rPr>
          <w:rFonts w:hint="eastAsia" w:ascii="仿宋" w:hAnsi="仿宋" w:eastAsia="仿宋" w:cs="仿宋"/>
          <w:b/>
          <w:bCs/>
          <w:sz w:val="28"/>
          <w:szCs w:val="28"/>
          <w:highlight w:val="none"/>
          <w:lang w:val="en-US" w:eastAsia="zh-CN"/>
        </w:rPr>
        <w:t>4.可持续性</w:t>
      </w:r>
      <w:r>
        <w:rPr>
          <w:rFonts w:hint="eastAsia" w:ascii="仿宋" w:hAnsi="仿宋" w:eastAsia="仿宋" w:cs="仿宋"/>
          <w:b/>
          <w:bCs/>
          <w:sz w:val="28"/>
          <w:szCs w:val="28"/>
          <w:highlight w:val="none"/>
        </w:rPr>
        <w:t>指标设置的考虑</w:t>
      </w:r>
    </w:p>
    <w:p>
      <w:pPr>
        <w:spacing w:line="560" w:lineRule="exact"/>
        <w:ind w:firstLine="560" w:firstLineChars="200"/>
        <w:rPr>
          <w:rFonts w:hint="default" w:ascii="仿宋" w:hAnsi="仿宋" w:eastAsia="仿宋" w:cs="仿宋"/>
          <w:sz w:val="28"/>
          <w:szCs w:val="28"/>
          <w:highlight w:val="none"/>
          <w:lang w:val="en-US"/>
        </w:rPr>
      </w:pPr>
      <w:r>
        <w:rPr>
          <w:rFonts w:hint="eastAsia" w:ascii="仿宋" w:hAnsi="仿宋" w:eastAsia="仿宋" w:cs="仿宋"/>
          <w:bCs/>
          <w:sz w:val="28"/>
          <w:szCs w:val="28"/>
          <w:highlight w:val="none"/>
          <w:lang w:val="en-US" w:eastAsia="zh-CN"/>
        </w:rPr>
        <w:t>临猗县老干部局2020</w:t>
      </w:r>
      <w:r>
        <w:rPr>
          <w:rFonts w:hint="eastAsia" w:ascii="仿宋" w:hAnsi="仿宋" w:eastAsia="仿宋" w:cs="仿宋"/>
          <w:sz w:val="28"/>
          <w:szCs w:val="28"/>
          <w:highlight w:val="none"/>
          <w:lang w:val="en-US" w:eastAsia="zh-CN"/>
        </w:rPr>
        <w:t>年</w:t>
      </w:r>
      <w:r>
        <w:rPr>
          <w:rFonts w:hint="eastAsia" w:ascii="仿宋" w:hAnsi="仿宋" w:eastAsia="仿宋" w:cs="仿宋"/>
          <w:sz w:val="28"/>
          <w:szCs w:val="28"/>
          <w:highlight w:val="none"/>
          <w:lang w:eastAsia="zh-CN"/>
        </w:rPr>
        <w:t>度部门整体支出</w:t>
      </w:r>
      <w:r>
        <w:rPr>
          <w:rFonts w:hint="eastAsia" w:ascii="仿宋" w:hAnsi="仿宋" w:eastAsia="仿宋" w:cs="仿宋"/>
          <w:sz w:val="28"/>
          <w:szCs w:val="28"/>
          <w:highlight w:val="none"/>
          <w:lang w:val="en-US" w:eastAsia="zh-CN"/>
        </w:rPr>
        <w:t>可持续性</w:t>
      </w:r>
      <w:r>
        <w:rPr>
          <w:rFonts w:hint="eastAsia" w:ascii="仿宋" w:hAnsi="仿宋" w:eastAsia="仿宋" w:cs="仿宋"/>
          <w:sz w:val="28"/>
          <w:szCs w:val="28"/>
          <w:highlight w:val="none"/>
          <w:lang w:eastAsia="zh-CN"/>
        </w:rPr>
        <w:t>指标，</w:t>
      </w:r>
      <w:r>
        <w:rPr>
          <w:rFonts w:hint="eastAsia" w:ascii="仿宋" w:hAnsi="仿宋" w:eastAsia="仿宋" w:cs="仿宋"/>
          <w:bCs/>
          <w:sz w:val="28"/>
          <w:szCs w:val="28"/>
          <w:highlight w:val="none"/>
          <w:lang w:val="en-US" w:eastAsia="zh-CN"/>
        </w:rPr>
        <w:t>主要是在</w:t>
      </w:r>
      <w:r>
        <w:rPr>
          <w:rFonts w:hint="eastAsia" w:ascii="仿宋" w:hAnsi="仿宋" w:eastAsia="仿宋" w:cs="仿宋"/>
          <w:bCs/>
          <w:sz w:val="28"/>
          <w:szCs w:val="28"/>
          <w:lang w:val="en-US" w:eastAsia="zh-CN"/>
        </w:rPr>
        <w:t>参考山西省财政厅绩效评价实施方案中整体支出绩效评价框架基础上</w:t>
      </w:r>
      <w:r>
        <w:rPr>
          <w:rFonts w:hint="eastAsia" w:ascii="仿宋" w:hAnsi="仿宋" w:eastAsia="仿宋" w:cs="仿宋"/>
          <w:bCs/>
          <w:sz w:val="28"/>
          <w:szCs w:val="28"/>
          <w:highlight w:val="none"/>
        </w:rPr>
        <w:t>，</w:t>
      </w:r>
      <w:r>
        <w:rPr>
          <w:rFonts w:hint="eastAsia" w:ascii="仿宋" w:hAnsi="仿宋" w:eastAsia="仿宋" w:cs="仿宋"/>
          <w:bCs/>
          <w:sz w:val="28"/>
          <w:szCs w:val="28"/>
          <w:highlight w:val="none"/>
          <w:lang w:val="en-US" w:eastAsia="zh-CN"/>
        </w:rPr>
        <w:t>从体制机制改革和干部队伍建设的角度</w:t>
      </w:r>
      <w:r>
        <w:rPr>
          <w:rFonts w:hint="eastAsia" w:ascii="仿宋" w:hAnsi="仿宋" w:eastAsia="仿宋" w:cs="仿宋"/>
          <w:bCs/>
          <w:sz w:val="28"/>
          <w:szCs w:val="28"/>
          <w:highlight w:val="none"/>
        </w:rPr>
        <w:t>对</w:t>
      </w:r>
      <w:r>
        <w:rPr>
          <w:rFonts w:hint="eastAsia" w:ascii="仿宋" w:hAnsi="仿宋" w:eastAsia="仿宋" w:cs="仿宋"/>
          <w:bCs/>
          <w:sz w:val="28"/>
          <w:szCs w:val="28"/>
          <w:highlight w:val="none"/>
          <w:lang w:val="en-US" w:eastAsia="zh-CN"/>
        </w:rPr>
        <w:t>该部门的可持续性</w:t>
      </w:r>
      <w:r>
        <w:rPr>
          <w:rFonts w:hint="eastAsia" w:ascii="仿宋" w:hAnsi="仿宋" w:eastAsia="仿宋" w:cs="仿宋"/>
          <w:bCs/>
          <w:sz w:val="28"/>
          <w:szCs w:val="28"/>
          <w:highlight w:val="none"/>
        </w:rPr>
        <w:t>的具体评价内容进行了编写</w:t>
      </w:r>
      <w:r>
        <w:rPr>
          <w:rFonts w:hint="eastAsia" w:ascii="仿宋" w:hAnsi="仿宋" w:eastAsia="仿宋" w:cs="仿宋"/>
          <w:sz w:val="28"/>
          <w:szCs w:val="28"/>
          <w:highlight w:val="none"/>
          <w:lang w:eastAsia="zh-CN"/>
        </w:rPr>
        <w:t>。</w:t>
      </w:r>
      <w:r>
        <w:rPr>
          <w:rFonts w:hint="eastAsia" w:ascii="仿宋" w:hAnsi="仿宋" w:eastAsia="仿宋" w:cs="仿宋"/>
          <w:sz w:val="28"/>
          <w:szCs w:val="28"/>
          <w:highlight w:val="none"/>
          <w:lang w:val="en-US" w:eastAsia="zh-CN"/>
        </w:rPr>
        <w:t>可持续性</w:t>
      </w:r>
      <w:r>
        <w:rPr>
          <w:rFonts w:hint="eastAsia" w:ascii="仿宋" w:hAnsi="仿宋" w:eastAsia="仿宋" w:cs="仿宋"/>
          <w:sz w:val="28"/>
          <w:szCs w:val="28"/>
          <w:highlight w:val="none"/>
          <w:lang w:eastAsia="zh-CN"/>
        </w:rPr>
        <w:t>从</w:t>
      </w:r>
      <w:r>
        <w:rPr>
          <w:rFonts w:hint="eastAsia" w:ascii="仿宋" w:hAnsi="仿宋" w:eastAsia="仿宋" w:cs="仿宋"/>
          <w:sz w:val="28"/>
          <w:szCs w:val="28"/>
          <w:highlight w:val="none"/>
          <w:lang w:val="en-US" w:eastAsia="zh-CN"/>
        </w:rPr>
        <w:t>体制机制改革、干部队伍建设两个方面进行评价，共设置两个二级指标两个三级指标。</w:t>
      </w:r>
    </w:p>
    <w:p>
      <w:pPr>
        <w:spacing w:line="56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具体评价指标设置、权重、指标解释、评分依据、评分标准见附件</w:t>
      </w:r>
      <w:r>
        <w:rPr>
          <w:rFonts w:hint="eastAsia" w:ascii="仿宋" w:hAnsi="仿宋" w:eastAsia="仿宋" w:cs="仿宋"/>
          <w:sz w:val="28"/>
          <w:szCs w:val="28"/>
          <w:highlight w:val="none"/>
          <w:lang w:val="en-US" w:eastAsia="zh-CN"/>
        </w:rPr>
        <w:t>1</w:t>
      </w:r>
      <w:r>
        <w:rPr>
          <w:rFonts w:hint="eastAsia" w:ascii="仿宋" w:hAnsi="仿宋" w:eastAsia="仿宋" w:cs="仿宋"/>
          <w:sz w:val="28"/>
          <w:szCs w:val="28"/>
          <w:highlight w:val="none"/>
        </w:rPr>
        <w:t>。</w:t>
      </w:r>
    </w:p>
    <w:p>
      <w:pPr>
        <w:spacing w:line="560" w:lineRule="exact"/>
        <w:ind w:firstLine="562" w:firstLineChars="200"/>
        <w:rPr>
          <w:rFonts w:ascii="仿宋" w:hAnsi="仿宋" w:eastAsia="仿宋" w:cs="仿宋"/>
          <w:b w:val="0"/>
          <w:bCs w:val="0"/>
          <w:sz w:val="28"/>
          <w:szCs w:val="28"/>
          <w:highlight w:val="none"/>
        </w:rPr>
      </w:pPr>
      <w:bookmarkStart w:id="69" w:name="_Toc7482_WPSOffice_Level2"/>
      <w:r>
        <w:rPr>
          <w:rFonts w:hint="eastAsia" w:ascii="仿宋" w:hAnsi="仿宋" w:eastAsia="仿宋" w:cs="仿宋"/>
          <w:b/>
          <w:bCs/>
          <w:sz w:val="28"/>
          <w:szCs w:val="28"/>
          <w:highlight w:val="none"/>
          <w:lang w:val="en-US" w:eastAsia="zh-CN"/>
        </w:rPr>
        <w:t>（三）</w:t>
      </w:r>
      <w:r>
        <w:rPr>
          <w:rFonts w:hint="eastAsia" w:ascii="仿宋" w:hAnsi="仿宋" w:eastAsia="仿宋" w:cs="仿宋"/>
          <w:b/>
          <w:bCs/>
          <w:sz w:val="28"/>
          <w:szCs w:val="28"/>
          <w:highlight w:val="none"/>
        </w:rPr>
        <w:t>分值评级</w:t>
      </w:r>
      <w:bookmarkEnd w:id="62"/>
      <w:bookmarkEnd w:id="63"/>
      <w:bookmarkEnd w:id="64"/>
      <w:bookmarkEnd w:id="65"/>
      <w:bookmarkEnd w:id="66"/>
      <w:bookmarkEnd w:id="67"/>
      <w:bookmarkEnd w:id="69"/>
    </w:p>
    <w:p>
      <w:pPr>
        <w:spacing w:line="56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项目评价结果分为优、良、中、差四个档次，根据评价分值，确定评价对象对应的档次。具体分值与档次见表</w:t>
      </w:r>
      <w:r>
        <w:rPr>
          <w:rFonts w:hint="eastAsia" w:ascii="仿宋" w:hAnsi="仿宋" w:eastAsia="仿宋" w:cs="仿宋"/>
          <w:sz w:val="28"/>
          <w:szCs w:val="28"/>
          <w:highlight w:val="none"/>
          <w:lang w:val="en-US" w:eastAsia="zh-CN"/>
        </w:rPr>
        <w:t>3</w:t>
      </w:r>
      <w:r>
        <w:rPr>
          <w:rFonts w:hint="eastAsia" w:ascii="仿宋" w:hAnsi="仿宋" w:eastAsia="仿宋" w:cs="仿宋"/>
          <w:sz w:val="28"/>
          <w:szCs w:val="28"/>
          <w:highlight w:val="none"/>
        </w:rPr>
        <w:t>：</w:t>
      </w:r>
    </w:p>
    <w:p>
      <w:pPr>
        <w:pStyle w:val="2"/>
        <w:jc w:val="center"/>
        <w:rPr>
          <w:rFonts w:hint="default"/>
          <w:highlight w:val="none"/>
          <w:lang w:val="en-US"/>
        </w:rPr>
      </w:pPr>
      <w:r>
        <w:rPr>
          <w:rFonts w:hint="eastAsia" w:ascii="仿宋" w:hAnsi="仿宋" w:eastAsia="仿宋" w:cs="仿宋"/>
          <w:b w:val="0"/>
          <w:bCs w:val="0"/>
          <w:color w:val="000000"/>
          <w:kern w:val="0"/>
          <w:sz w:val="28"/>
          <w:szCs w:val="28"/>
          <w:highlight w:val="none"/>
          <w:shd w:val="clear" w:color="auto" w:fill="FFFFFF"/>
          <w:lang w:val="en-US" w:eastAsia="zh-CN"/>
        </w:rPr>
        <w:t>表3：评价分值与评价等级表</w:t>
      </w:r>
    </w:p>
    <w:tbl>
      <w:tblPr>
        <w:tblStyle w:val="7"/>
        <w:tblW w:w="8440" w:type="dxa"/>
        <w:tblInd w:w="0" w:type="dxa"/>
        <w:shd w:val="clear" w:color="auto" w:fill="auto"/>
        <w:tblLayout w:type="fixed"/>
        <w:tblCellMar>
          <w:top w:w="0" w:type="dxa"/>
          <w:left w:w="0" w:type="dxa"/>
          <w:bottom w:w="0" w:type="dxa"/>
          <w:right w:w="0" w:type="dxa"/>
        </w:tblCellMar>
      </w:tblPr>
      <w:tblGrid>
        <w:gridCol w:w="1688"/>
        <w:gridCol w:w="1429"/>
        <w:gridCol w:w="1947"/>
        <w:gridCol w:w="1833"/>
        <w:gridCol w:w="1543"/>
      </w:tblGrid>
      <w:tr>
        <w:tblPrEx>
          <w:shd w:val="clear" w:color="auto" w:fill="auto"/>
          <w:tblCellMar>
            <w:top w:w="0" w:type="dxa"/>
            <w:left w:w="0" w:type="dxa"/>
            <w:bottom w:w="0" w:type="dxa"/>
            <w:right w:w="0" w:type="dxa"/>
          </w:tblCellMar>
        </w:tblPrEx>
        <w:trPr>
          <w:trHeight w:val="463" w:hRule="atLeast"/>
          <w:tblHeader/>
        </w:trPr>
        <w:tc>
          <w:tcPr>
            <w:tcW w:w="168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等级</w:t>
            </w:r>
          </w:p>
        </w:tc>
        <w:tc>
          <w:tcPr>
            <w:tcW w:w="1429"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优</w:t>
            </w:r>
          </w:p>
        </w:tc>
        <w:tc>
          <w:tcPr>
            <w:tcW w:w="194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良</w:t>
            </w:r>
          </w:p>
        </w:tc>
        <w:tc>
          <w:tcPr>
            <w:tcW w:w="1833"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中</w:t>
            </w:r>
          </w:p>
        </w:tc>
        <w:tc>
          <w:tcPr>
            <w:tcW w:w="1543"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差</w:t>
            </w:r>
          </w:p>
        </w:tc>
      </w:tr>
      <w:tr>
        <w:tblPrEx>
          <w:tblCellMar>
            <w:top w:w="0" w:type="dxa"/>
            <w:left w:w="0" w:type="dxa"/>
            <w:bottom w:w="0" w:type="dxa"/>
            <w:right w:w="0" w:type="dxa"/>
          </w:tblCellMar>
        </w:tblPrEx>
        <w:trPr>
          <w:trHeight w:val="477" w:hRule="atLeast"/>
          <w:tblHeader/>
        </w:trPr>
        <w:tc>
          <w:tcPr>
            <w:tcW w:w="16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分值</w:t>
            </w:r>
          </w:p>
        </w:tc>
        <w:tc>
          <w:tcPr>
            <w:tcW w:w="142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分值≥90</w:t>
            </w:r>
          </w:p>
        </w:tc>
        <w:tc>
          <w:tcPr>
            <w:tcW w:w="194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90＜分值≥80</w:t>
            </w:r>
          </w:p>
        </w:tc>
        <w:tc>
          <w:tcPr>
            <w:tcW w:w="183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80＜分值≥60</w:t>
            </w:r>
          </w:p>
        </w:tc>
        <w:tc>
          <w:tcPr>
            <w:tcW w:w="154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60＜分值</w:t>
            </w:r>
          </w:p>
        </w:tc>
      </w:tr>
    </w:tbl>
    <w:p>
      <w:pPr>
        <w:adjustRightInd w:val="0"/>
        <w:snapToGrid w:val="0"/>
        <w:spacing w:line="560" w:lineRule="exact"/>
        <w:ind w:firstLine="562" w:firstLineChars="200"/>
        <w:outlineLvl w:val="0"/>
        <w:rPr>
          <w:rFonts w:hint="eastAsia" w:ascii="仿宋" w:hAnsi="仿宋" w:eastAsia="仿宋" w:cs="仿宋"/>
          <w:b/>
          <w:sz w:val="28"/>
          <w:szCs w:val="28"/>
          <w:highlight w:val="none"/>
        </w:rPr>
      </w:pPr>
      <w:r>
        <w:rPr>
          <w:rFonts w:hint="eastAsia" w:ascii="仿宋" w:hAnsi="仿宋" w:eastAsia="仿宋" w:cs="仿宋"/>
          <w:b/>
          <w:sz w:val="28"/>
          <w:szCs w:val="28"/>
          <w:highlight w:val="none"/>
          <w:lang w:eastAsia="zh-CN"/>
        </w:rPr>
        <w:t>四、</w:t>
      </w:r>
      <w:r>
        <w:rPr>
          <w:rFonts w:hint="eastAsia" w:ascii="仿宋" w:hAnsi="仿宋" w:eastAsia="仿宋" w:cs="仿宋"/>
          <w:b/>
          <w:sz w:val="28"/>
          <w:szCs w:val="28"/>
          <w:highlight w:val="none"/>
        </w:rPr>
        <w:t>绩效评价指标分析情况</w:t>
      </w:r>
    </w:p>
    <w:p>
      <w:pPr>
        <w:pStyle w:val="2"/>
        <w:numPr>
          <w:ilvl w:val="0"/>
          <w:numId w:val="0"/>
        </w:numPr>
        <w:ind w:firstLine="562" w:firstLineChars="200"/>
        <w:outlineLvl w:val="1"/>
        <w:rPr>
          <w:rFonts w:hint="default"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（一）履职效能</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b w:val="0"/>
          <w:bCs w:val="0"/>
          <w:sz w:val="28"/>
          <w:szCs w:val="28"/>
          <w:highlight w:val="none"/>
          <w:lang w:val="en-US" w:eastAsia="zh-CN"/>
        </w:rPr>
      </w:pPr>
      <w:r>
        <w:rPr>
          <w:rFonts w:hint="eastAsia"/>
          <w:b w:val="0"/>
          <w:bCs w:val="0"/>
          <w:sz w:val="28"/>
          <w:szCs w:val="28"/>
          <w:highlight w:val="none"/>
          <w:lang w:val="en-US" w:eastAsia="zh-CN"/>
        </w:rPr>
        <w:t>履职效能分别从工作目标设定、目标任务实现程度、核心业务能力和基础管理四个方面进行分析，共设置四个二级指标十个三级指标。履职效能分值20分，实际得分18.9分，得分率94.5%。各分项指标得分情况如下表4-1所示：</w:t>
      </w:r>
    </w:p>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eastAsia="仿宋"/>
          <w:highlight w:val="none"/>
          <w:lang w:val="en-US" w:eastAsia="zh-CN"/>
        </w:rPr>
      </w:pPr>
      <w:r>
        <w:rPr>
          <w:rFonts w:hint="eastAsia" w:ascii="仿宋" w:hAnsi="仿宋" w:eastAsia="仿宋" w:cs="仿宋"/>
          <w:sz w:val="28"/>
          <w:szCs w:val="28"/>
          <w:highlight w:val="none"/>
          <w:lang w:val="en-US" w:eastAsia="zh-CN"/>
        </w:rPr>
        <w:t>表4-1 履职效能得分情况表</w:t>
      </w:r>
    </w:p>
    <w:tbl>
      <w:tblPr>
        <w:tblStyle w:val="7"/>
        <w:tblW w:w="4995" w:type="pct"/>
        <w:jc w:val="center"/>
        <w:shd w:val="clear" w:color="auto" w:fill="auto"/>
        <w:tblLayout w:type="autofit"/>
        <w:tblCellMar>
          <w:top w:w="0" w:type="dxa"/>
          <w:left w:w="0" w:type="dxa"/>
          <w:bottom w:w="0" w:type="dxa"/>
          <w:right w:w="0" w:type="dxa"/>
        </w:tblCellMar>
      </w:tblPr>
      <w:tblGrid>
        <w:gridCol w:w="1517"/>
        <w:gridCol w:w="2930"/>
        <w:gridCol w:w="1289"/>
        <w:gridCol w:w="1289"/>
        <w:gridCol w:w="1291"/>
      </w:tblGrid>
      <w:tr>
        <w:tblPrEx>
          <w:shd w:val="clear" w:color="auto" w:fill="auto"/>
          <w:tblCellMar>
            <w:top w:w="0" w:type="dxa"/>
            <w:left w:w="0" w:type="dxa"/>
            <w:bottom w:w="0" w:type="dxa"/>
            <w:right w:w="0" w:type="dxa"/>
          </w:tblCellMar>
        </w:tblPrEx>
        <w:trPr>
          <w:trHeight w:val="403" w:hRule="atLeast"/>
          <w:tblHeader/>
          <w:jc w:val="center"/>
        </w:trPr>
        <w:tc>
          <w:tcPr>
            <w:tcW w:w="91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二级指标</w:t>
            </w:r>
          </w:p>
        </w:tc>
        <w:tc>
          <w:tcPr>
            <w:tcW w:w="176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三级指标</w:t>
            </w:r>
          </w:p>
        </w:tc>
        <w:tc>
          <w:tcPr>
            <w:tcW w:w="77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权重</w:t>
            </w:r>
          </w:p>
        </w:tc>
        <w:tc>
          <w:tcPr>
            <w:tcW w:w="77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 xml:space="preserve"> 得分 </w:t>
            </w:r>
          </w:p>
        </w:tc>
        <w:tc>
          <w:tcPr>
            <w:tcW w:w="77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得分率</w:t>
            </w:r>
          </w:p>
        </w:tc>
      </w:tr>
      <w:tr>
        <w:tblPrEx>
          <w:tblCellMar>
            <w:top w:w="0" w:type="dxa"/>
            <w:left w:w="0" w:type="dxa"/>
            <w:bottom w:w="0" w:type="dxa"/>
            <w:right w:w="0" w:type="dxa"/>
          </w:tblCellMar>
        </w:tblPrEx>
        <w:trPr>
          <w:trHeight w:val="400" w:hRule="atLeast"/>
          <w:jc w:val="center"/>
        </w:trPr>
        <w:tc>
          <w:tcPr>
            <w:tcW w:w="912"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highlight w:val="none"/>
                <w:u w:val="none"/>
                <w:lang w:val="en-US" w:eastAsia="zh-CN" w:bidi="ar"/>
              </w:rPr>
            </w:pPr>
            <w:r>
              <w:rPr>
                <w:rFonts w:hint="eastAsia" w:ascii="仿宋" w:hAnsi="仿宋" w:eastAsia="仿宋" w:cs="仿宋"/>
                <w:i w:val="0"/>
                <w:color w:val="000000"/>
                <w:kern w:val="0"/>
                <w:sz w:val="20"/>
                <w:szCs w:val="20"/>
                <w:highlight w:val="none"/>
                <w:u w:val="none"/>
                <w:lang w:val="en-US" w:eastAsia="zh-CN" w:bidi="ar"/>
              </w:rPr>
              <w:t>A1工作目标设定</w:t>
            </w:r>
          </w:p>
        </w:tc>
        <w:tc>
          <w:tcPr>
            <w:tcW w:w="176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0"/>
                <w:szCs w:val="20"/>
                <w:highlight w:val="none"/>
                <w:u w:val="none"/>
                <w:lang w:val="en-US" w:eastAsia="zh-CN" w:bidi="ar"/>
              </w:rPr>
            </w:pPr>
            <w:r>
              <w:rPr>
                <w:rFonts w:hint="eastAsia" w:ascii="仿宋" w:hAnsi="仿宋" w:eastAsia="仿宋" w:cs="仿宋"/>
                <w:i w:val="0"/>
                <w:color w:val="000000"/>
                <w:kern w:val="0"/>
                <w:sz w:val="20"/>
                <w:szCs w:val="20"/>
                <w:highlight w:val="none"/>
                <w:u w:val="none"/>
                <w:lang w:val="en-US" w:eastAsia="zh-CN" w:bidi="ar"/>
              </w:rPr>
              <w:t>A1-1目标任务设定情况</w:t>
            </w:r>
          </w:p>
        </w:tc>
        <w:tc>
          <w:tcPr>
            <w:tcW w:w="77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3</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宋体" w:hAnsi="宋体" w:cs="宋体"/>
                <w:i w:val="0"/>
                <w:color w:val="000000"/>
                <w:sz w:val="20"/>
                <w:szCs w:val="20"/>
                <w:highlight w:val="none"/>
                <w:u w:val="none"/>
                <w:lang w:val="en-US" w:eastAsia="zh-CN"/>
              </w:rPr>
            </w:pPr>
            <w:r>
              <w:rPr>
                <w:rFonts w:hint="eastAsia" w:ascii="宋体" w:hAnsi="宋体" w:cs="宋体"/>
                <w:i w:val="0"/>
                <w:color w:val="000000"/>
                <w:sz w:val="20"/>
                <w:szCs w:val="20"/>
                <w:highlight w:val="none"/>
                <w:u w:val="none"/>
                <w:lang w:val="en-US" w:eastAsia="zh-CN"/>
              </w:rPr>
              <w:t>3</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宋体" w:hAnsi="宋体" w:cs="宋体"/>
                <w:i w:val="0"/>
                <w:color w:val="000000"/>
                <w:sz w:val="20"/>
                <w:szCs w:val="20"/>
                <w:highlight w:val="none"/>
                <w:u w:val="none"/>
                <w:lang w:val="en-US" w:eastAsia="zh-CN"/>
              </w:rPr>
            </w:pPr>
            <w:r>
              <w:rPr>
                <w:rFonts w:hint="eastAsia" w:ascii="宋体" w:hAnsi="宋体" w:cs="宋体"/>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400" w:hRule="atLeast"/>
          <w:jc w:val="center"/>
        </w:trPr>
        <w:tc>
          <w:tcPr>
            <w:tcW w:w="912" w:type="pct"/>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rPr>
            </w:pPr>
            <w:r>
              <w:rPr>
                <w:rFonts w:hint="eastAsia" w:ascii="仿宋" w:hAnsi="仿宋" w:eastAsia="仿宋" w:cs="仿宋"/>
                <w:i w:val="0"/>
                <w:color w:val="000000"/>
                <w:kern w:val="0"/>
                <w:sz w:val="20"/>
                <w:szCs w:val="20"/>
                <w:highlight w:val="none"/>
                <w:u w:val="none"/>
                <w:lang w:val="en-US" w:eastAsia="zh-CN" w:bidi="ar"/>
              </w:rPr>
              <w:t>A2目标任务实现情况</w:t>
            </w:r>
          </w:p>
        </w:tc>
        <w:tc>
          <w:tcPr>
            <w:tcW w:w="176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sz w:val="20"/>
                <w:szCs w:val="20"/>
                <w:highlight w:val="none"/>
                <w:u w:val="none"/>
                <w:lang w:val="en-US"/>
              </w:rPr>
            </w:pPr>
            <w:r>
              <w:rPr>
                <w:rFonts w:hint="eastAsia" w:ascii="仿宋" w:hAnsi="仿宋" w:eastAsia="仿宋" w:cs="仿宋"/>
                <w:i w:val="0"/>
                <w:color w:val="000000"/>
                <w:kern w:val="0"/>
                <w:sz w:val="20"/>
                <w:szCs w:val="20"/>
                <w:u w:val="none"/>
                <w:lang w:val="en-US" w:eastAsia="zh-CN" w:bidi="ar"/>
              </w:rPr>
              <w:t>A2-1待遇落实工作完成情况</w:t>
            </w:r>
          </w:p>
        </w:tc>
        <w:tc>
          <w:tcPr>
            <w:tcW w:w="77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4</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eastAsia="zh-CN"/>
              </w:rPr>
            </w:pPr>
            <w:r>
              <w:rPr>
                <w:rFonts w:hint="eastAsia" w:ascii="宋体" w:hAnsi="宋体" w:eastAsia="宋体" w:cs="宋体"/>
                <w:i w:val="0"/>
                <w:color w:val="000000"/>
                <w:sz w:val="20"/>
                <w:szCs w:val="20"/>
                <w:highlight w:val="none"/>
                <w:u w:val="none"/>
                <w:lang w:val="en-US" w:eastAsia="zh-CN"/>
              </w:rPr>
              <w:t>3</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eastAsia="zh-CN"/>
              </w:rPr>
            </w:pPr>
            <w:r>
              <w:rPr>
                <w:rFonts w:hint="eastAsia" w:ascii="宋体" w:hAnsi="宋体" w:eastAsia="宋体" w:cs="宋体"/>
                <w:i w:val="0"/>
                <w:color w:val="000000"/>
                <w:sz w:val="20"/>
                <w:szCs w:val="20"/>
                <w:highlight w:val="none"/>
                <w:u w:val="none"/>
                <w:lang w:val="en-US" w:eastAsia="zh-CN"/>
              </w:rPr>
              <w:t>75%</w:t>
            </w:r>
          </w:p>
        </w:tc>
      </w:tr>
      <w:tr>
        <w:tblPrEx>
          <w:tblCellMar>
            <w:top w:w="0" w:type="dxa"/>
            <w:left w:w="0" w:type="dxa"/>
            <w:bottom w:w="0" w:type="dxa"/>
            <w:right w:w="0" w:type="dxa"/>
          </w:tblCellMar>
        </w:tblPrEx>
        <w:trPr>
          <w:trHeight w:val="400" w:hRule="atLeast"/>
          <w:jc w:val="center"/>
        </w:trPr>
        <w:tc>
          <w:tcPr>
            <w:tcW w:w="91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176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kern w:val="0"/>
                <w:sz w:val="20"/>
                <w:szCs w:val="20"/>
                <w:u w:val="none"/>
                <w:lang w:val="en-US" w:eastAsia="zh-CN" w:bidi="ar"/>
              </w:rPr>
              <w:t>A2-2服务管理工作完成情况</w:t>
            </w:r>
          </w:p>
        </w:tc>
        <w:tc>
          <w:tcPr>
            <w:tcW w:w="77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4</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eastAsia="zh-CN"/>
              </w:rPr>
            </w:pPr>
            <w:r>
              <w:rPr>
                <w:rFonts w:hint="eastAsia" w:ascii="宋体" w:hAnsi="宋体" w:eastAsia="宋体" w:cs="宋体"/>
                <w:i w:val="0"/>
                <w:color w:val="000000"/>
                <w:sz w:val="20"/>
                <w:szCs w:val="20"/>
                <w:highlight w:val="none"/>
                <w:u w:val="none"/>
                <w:lang w:val="en-US" w:eastAsia="zh-CN"/>
              </w:rPr>
              <w:t>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eastAsia="zh-CN"/>
              </w:rPr>
            </w:pPr>
            <w:r>
              <w:rPr>
                <w:rFonts w:hint="eastAsia" w:ascii="宋体" w:hAnsi="宋体" w:cs="宋体"/>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400" w:hRule="atLeast"/>
          <w:jc w:val="center"/>
        </w:trPr>
        <w:tc>
          <w:tcPr>
            <w:tcW w:w="91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176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kern w:val="0"/>
                <w:sz w:val="20"/>
                <w:szCs w:val="20"/>
                <w:u w:val="none"/>
                <w:lang w:val="en-US" w:eastAsia="zh-CN" w:bidi="ar"/>
              </w:rPr>
              <w:t>A2-3离退休干部及老年人活动阵地管理工作完成情况</w:t>
            </w:r>
          </w:p>
        </w:tc>
        <w:tc>
          <w:tcPr>
            <w:tcW w:w="77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2</w:t>
            </w:r>
          </w:p>
        </w:tc>
        <w:tc>
          <w:tcPr>
            <w:tcW w:w="77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eastAsia="zh-CN"/>
              </w:rPr>
            </w:pPr>
            <w:r>
              <w:rPr>
                <w:rFonts w:hint="eastAsia" w:ascii="宋体" w:hAnsi="宋体" w:eastAsia="宋体" w:cs="宋体"/>
                <w:i w:val="0"/>
                <w:color w:val="000000"/>
                <w:sz w:val="20"/>
                <w:szCs w:val="20"/>
                <w:highlight w:val="none"/>
                <w:u w:val="none"/>
                <w:lang w:val="en-US" w:eastAsia="zh-CN"/>
              </w:rPr>
              <w:t>95%</w:t>
            </w:r>
          </w:p>
        </w:tc>
      </w:tr>
      <w:tr>
        <w:tblPrEx>
          <w:tblCellMar>
            <w:top w:w="0" w:type="dxa"/>
            <w:left w:w="0" w:type="dxa"/>
            <w:bottom w:w="0" w:type="dxa"/>
            <w:right w:w="0" w:type="dxa"/>
          </w:tblCellMar>
        </w:tblPrEx>
        <w:trPr>
          <w:trHeight w:val="400" w:hRule="atLeast"/>
          <w:jc w:val="center"/>
        </w:trPr>
        <w:tc>
          <w:tcPr>
            <w:tcW w:w="91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176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highlight w:val="none"/>
                <w:u w:val="none"/>
                <w:lang w:val="en-US" w:eastAsia="zh-CN" w:bidi="ar"/>
              </w:rPr>
            </w:pPr>
            <w:r>
              <w:rPr>
                <w:rFonts w:hint="eastAsia" w:ascii="仿宋" w:hAnsi="仿宋" w:eastAsia="仿宋" w:cs="仿宋"/>
                <w:i w:val="0"/>
                <w:color w:val="000000"/>
                <w:kern w:val="0"/>
                <w:sz w:val="20"/>
                <w:szCs w:val="20"/>
                <w:highlight w:val="none"/>
                <w:u w:val="none"/>
                <w:lang w:val="en-US" w:eastAsia="zh-CN" w:bidi="ar"/>
              </w:rPr>
              <w:t>A2-4其他工作完成情况</w:t>
            </w:r>
          </w:p>
        </w:tc>
        <w:tc>
          <w:tcPr>
            <w:tcW w:w="77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宋体" w:hAnsi="宋体" w:cs="宋体"/>
                <w:i w:val="0"/>
                <w:color w:val="000000"/>
                <w:sz w:val="20"/>
                <w:szCs w:val="20"/>
                <w:highlight w:val="none"/>
                <w:u w:val="none"/>
                <w:lang w:val="en-US" w:eastAsia="zh-CN"/>
              </w:rPr>
            </w:pPr>
            <w:r>
              <w:rPr>
                <w:rFonts w:hint="eastAsia" w:ascii="宋体" w:hAnsi="宋体" w:cs="宋体"/>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400" w:hRule="atLeast"/>
          <w:jc w:val="center"/>
        </w:trPr>
        <w:tc>
          <w:tcPr>
            <w:tcW w:w="91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176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highlight w:val="none"/>
                <w:u w:val="none"/>
                <w:lang w:val="en-US" w:eastAsia="zh-CN" w:bidi="ar"/>
              </w:rPr>
            </w:pPr>
            <w:r>
              <w:rPr>
                <w:rFonts w:hint="eastAsia" w:ascii="仿宋" w:hAnsi="仿宋" w:eastAsia="仿宋" w:cs="仿宋"/>
                <w:i w:val="0"/>
                <w:color w:val="000000"/>
                <w:kern w:val="0"/>
                <w:sz w:val="20"/>
                <w:szCs w:val="20"/>
                <w:highlight w:val="none"/>
                <w:u w:val="none"/>
                <w:lang w:val="en-US" w:eastAsia="zh-CN" w:bidi="ar"/>
              </w:rPr>
              <w:t>小计</w:t>
            </w:r>
          </w:p>
        </w:tc>
        <w:tc>
          <w:tcPr>
            <w:tcW w:w="77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11</w:t>
            </w:r>
          </w:p>
        </w:tc>
        <w:tc>
          <w:tcPr>
            <w:tcW w:w="77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10.9</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宋体" w:hAnsi="宋体" w:cs="宋体"/>
                <w:i w:val="0"/>
                <w:color w:val="000000"/>
                <w:sz w:val="20"/>
                <w:szCs w:val="20"/>
                <w:highlight w:val="none"/>
                <w:u w:val="none"/>
                <w:lang w:val="en-US" w:eastAsia="zh-CN"/>
              </w:rPr>
            </w:pPr>
            <w:r>
              <w:rPr>
                <w:rFonts w:hint="eastAsia" w:ascii="宋体" w:hAnsi="宋体" w:cs="宋体"/>
                <w:i w:val="0"/>
                <w:color w:val="000000"/>
                <w:sz w:val="20"/>
                <w:szCs w:val="20"/>
                <w:highlight w:val="none"/>
                <w:u w:val="none"/>
                <w:lang w:val="en-US" w:eastAsia="zh-CN"/>
              </w:rPr>
              <w:t>99.09</w:t>
            </w:r>
          </w:p>
        </w:tc>
      </w:tr>
      <w:tr>
        <w:tblPrEx>
          <w:tblCellMar>
            <w:top w:w="0" w:type="dxa"/>
            <w:left w:w="0" w:type="dxa"/>
            <w:bottom w:w="0" w:type="dxa"/>
            <w:right w:w="0" w:type="dxa"/>
          </w:tblCellMar>
        </w:tblPrEx>
        <w:trPr>
          <w:trHeight w:val="400" w:hRule="atLeast"/>
          <w:jc w:val="center"/>
        </w:trPr>
        <w:tc>
          <w:tcPr>
            <w:tcW w:w="912" w:type="pct"/>
            <w:vMerge w:val="restart"/>
            <w:tcBorders>
              <w:top w:val="single" w:color="000000" w:sz="4" w:space="0"/>
              <w:left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highlight w:val="none"/>
                <w:u w:val="none"/>
                <w:lang w:val="en-US" w:eastAsia="zh-CN" w:bidi="ar"/>
              </w:rPr>
            </w:pPr>
            <w:r>
              <w:rPr>
                <w:rFonts w:hint="eastAsia" w:ascii="仿宋" w:hAnsi="仿宋" w:eastAsia="仿宋" w:cs="仿宋"/>
                <w:i w:val="0"/>
                <w:color w:val="000000"/>
                <w:kern w:val="0"/>
                <w:sz w:val="20"/>
                <w:szCs w:val="20"/>
                <w:highlight w:val="none"/>
                <w:u w:val="none"/>
                <w:lang w:val="en-US" w:eastAsia="zh-CN" w:bidi="ar"/>
              </w:rPr>
              <w:t>A3核心业务能力</w:t>
            </w:r>
          </w:p>
        </w:tc>
        <w:tc>
          <w:tcPr>
            <w:tcW w:w="176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0"/>
                <w:szCs w:val="20"/>
                <w:highlight w:val="none"/>
                <w:u w:val="none"/>
                <w:lang w:val="en-US" w:eastAsia="zh-CN" w:bidi="ar"/>
              </w:rPr>
            </w:pPr>
            <w:r>
              <w:rPr>
                <w:rFonts w:hint="eastAsia" w:ascii="仿宋" w:hAnsi="仿宋" w:eastAsia="仿宋" w:cs="仿宋"/>
                <w:i w:val="0"/>
                <w:color w:val="000000"/>
                <w:kern w:val="0"/>
                <w:sz w:val="20"/>
                <w:szCs w:val="20"/>
                <w:highlight w:val="none"/>
                <w:u w:val="none"/>
                <w:lang w:val="en-US" w:eastAsia="zh-CN" w:bidi="ar"/>
              </w:rPr>
              <w:t>A3-1待遇落实能力</w:t>
            </w:r>
          </w:p>
        </w:tc>
        <w:tc>
          <w:tcPr>
            <w:tcW w:w="77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eastAsia="zh-CN"/>
              </w:rPr>
            </w:pPr>
            <w:r>
              <w:rPr>
                <w:rFonts w:hint="eastAsia" w:ascii="宋体" w:hAnsi="宋体" w:eastAsia="宋体" w:cs="宋体"/>
                <w:i w:val="0"/>
                <w:color w:val="000000"/>
                <w:sz w:val="20"/>
                <w:szCs w:val="20"/>
                <w:highlight w:val="none"/>
                <w:u w:val="none"/>
                <w:lang w:val="en-US" w:eastAsia="zh-CN"/>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宋体" w:hAnsi="宋体" w:cs="宋体"/>
                <w:i w:val="0"/>
                <w:color w:val="000000"/>
                <w:sz w:val="20"/>
                <w:szCs w:val="20"/>
                <w:highlight w:val="none"/>
                <w:u w:val="none"/>
                <w:lang w:val="en-US" w:eastAsia="zh-CN"/>
              </w:rPr>
            </w:pPr>
            <w:r>
              <w:rPr>
                <w:rFonts w:hint="eastAsia" w:ascii="宋体" w:hAnsi="宋体" w:cs="宋体"/>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400" w:hRule="atLeast"/>
          <w:jc w:val="center"/>
        </w:trPr>
        <w:tc>
          <w:tcPr>
            <w:tcW w:w="912" w:type="pct"/>
            <w:vMerge w:val="continue"/>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highlight w:val="none"/>
                <w:u w:val="none"/>
                <w:lang w:val="en-US" w:eastAsia="zh-CN" w:bidi="ar"/>
              </w:rPr>
            </w:pPr>
          </w:p>
        </w:tc>
        <w:tc>
          <w:tcPr>
            <w:tcW w:w="2930"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highlight w:val="none"/>
                <w:u w:val="none"/>
                <w:lang w:val="en-US" w:eastAsia="zh-CN" w:bidi="ar"/>
              </w:rPr>
            </w:pPr>
            <w:r>
              <w:rPr>
                <w:rFonts w:hint="eastAsia" w:ascii="仿宋" w:hAnsi="仿宋" w:eastAsia="仿宋" w:cs="仿宋"/>
                <w:i w:val="0"/>
                <w:color w:val="000000"/>
                <w:kern w:val="0"/>
                <w:sz w:val="20"/>
                <w:szCs w:val="20"/>
                <w:highlight w:val="none"/>
                <w:u w:val="none"/>
                <w:lang w:val="en-US" w:eastAsia="zh-CN" w:bidi="ar"/>
              </w:rPr>
              <w:t>A3-2服务管理水平</w:t>
            </w: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eastAsia="zh-CN"/>
              </w:rPr>
            </w:pPr>
            <w:r>
              <w:rPr>
                <w:rFonts w:hint="eastAsia" w:ascii="宋体" w:hAnsi="宋体" w:eastAsia="宋体" w:cs="宋体"/>
                <w:i w:val="0"/>
                <w:color w:val="000000"/>
                <w:sz w:val="20"/>
                <w:szCs w:val="20"/>
                <w:highlight w:val="none"/>
                <w:u w:val="none"/>
                <w:lang w:val="en-US" w:eastAsia="zh-CN"/>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宋体" w:hAnsi="宋体" w:cs="宋体"/>
                <w:i w:val="0"/>
                <w:color w:val="000000"/>
                <w:sz w:val="20"/>
                <w:szCs w:val="20"/>
                <w:highlight w:val="none"/>
                <w:u w:val="none"/>
                <w:lang w:val="en-US" w:eastAsia="zh-CN"/>
              </w:rPr>
            </w:pPr>
            <w:r>
              <w:rPr>
                <w:rFonts w:hint="eastAsia" w:ascii="宋体" w:hAnsi="宋体" w:cs="宋体"/>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400" w:hRule="atLeast"/>
          <w:jc w:val="center"/>
        </w:trPr>
        <w:tc>
          <w:tcPr>
            <w:tcW w:w="912" w:type="pct"/>
            <w:vMerge w:val="continue"/>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highlight w:val="none"/>
                <w:u w:val="none"/>
                <w:lang w:val="en-US" w:eastAsia="zh-CN" w:bidi="ar"/>
              </w:rPr>
            </w:pPr>
          </w:p>
        </w:tc>
        <w:tc>
          <w:tcPr>
            <w:tcW w:w="2930"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highlight w:val="none"/>
                <w:u w:val="none"/>
                <w:lang w:val="en-US" w:eastAsia="zh-CN" w:bidi="ar"/>
              </w:rPr>
            </w:pPr>
            <w:r>
              <w:rPr>
                <w:rFonts w:hint="eastAsia" w:ascii="仿宋" w:hAnsi="仿宋" w:eastAsia="仿宋" w:cs="仿宋"/>
                <w:i w:val="0"/>
                <w:color w:val="000000"/>
                <w:kern w:val="0"/>
                <w:sz w:val="20"/>
                <w:szCs w:val="20"/>
                <w:highlight w:val="none"/>
                <w:u w:val="none"/>
                <w:lang w:val="en-US" w:eastAsia="zh-CN" w:bidi="ar"/>
              </w:rPr>
              <w:t>小计</w:t>
            </w:r>
          </w:p>
        </w:tc>
        <w:tc>
          <w:tcPr>
            <w:tcW w:w="128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2</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eastAsia="zh-CN"/>
              </w:rPr>
            </w:pPr>
            <w:r>
              <w:rPr>
                <w:rFonts w:hint="eastAsia" w:ascii="宋体" w:hAnsi="宋体" w:eastAsia="宋体" w:cs="宋体"/>
                <w:i w:val="0"/>
                <w:color w:val="000000"/>
                <w:sz w:val="20"/>
                <w:szCs w:val="20"/>
                <w:highlight w:val="none"/>
                <w:u w:val="none"/>
                <w:lang w:val="en-US" w:eastAsia="zh-CN"/>
              </w:rPr>
              <w:t>2</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宋体" w:hAnsi="宋体" w:cs="宋体"/>
                <w:i w:val="0"/>
                <w:color w:val="000000"/>
                <w:sz w:val="20"/>
                <w:szCs w:val="20"/>
                <w:highlight w:val="none"/>
                <w:u w:val="none"/>
                <w:lang w:val="en-US" w:eastAsia="zh-CN"/>
              </w:rPr>
            </w:pPr>
            <w:r>
              <w:rPr>
                <w:rFonts w:hint="eastAsia" w:ascii="宋体" w:hAnsi="宋体" w:cs="宋体"/>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400" w:hRule="atLeast"/>
          <w:jc w:val="center"/>
        </w:trPr>
        <w:tc>
          <w:tcPr>
            <w:tcW w:w="912" w:type="pct"/>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rPr>
            </w:pPr>
            <w:r>
              <w:rPr>
                <w:rFonts w:hint="eastAsia" w:ascii="仿宋" w:hAnsi="仿宋" w:eastAsia="仿宋" w:cs="仿宋"/>
                <w:i w:val="0"/>
                <w:color w:val="000000"/>
                <w:kern w:val="0"/>
                <w:sz w:val="20"/>
                <w:szCs w:val="20"/>
                <w:highlight w:val="none"/>
                <w:u w:val="none"/>
                <w:lang w:val="en-US" w:eastAsia="zh-CN" w:bidi="ar"/>
              </w:rPr>
              <w:t>A4基础管理</w:t>
            </w:r>
          </w:p>
        </w:tc>
        <w:tc>
          <w:tcPr>
            <w:tcW w:w="176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sz w:val="20"/>
                <w:szCs w:val="20"/>
                <w:highlight w:val="none"/>
                <w:u w:val="none"/>
                <w:lang w:val="en-US"/>
              </w:rPr>
            </w:pPr>
            <w:r>
              <w:rPr>
                <w:rFonts w:hint="eastAsia" w:ascii="仿宋" w:hAnsi="仿宋" w:eastAsia="仿宋" w:cs="仿宋"/>
                <w:i w:val="0"/>
                <w:color w:val="000000"/>
                <w:kern w:val="0"/>
                <w:sz w:val="20"/>
                <w:szCs w:val="20"/>
                <w:highlight w:val="none"/>
                <w:u w:val="none"/>
                <w:lang w:val="en-US" w:eastAsia="zh-CN" w:bidi="ar"/>
              </w:rPr>
              <w:t>A4-1依法行政</w:t>
            </w:r>
          </w:p>
        </w:tc>
        <w:tc>
          <w:tcPr>
            <w:tcW w:w="77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eastAsia="zh-CN"/>
              </w:rPr>
            </w:pPr>
            <w:r>
              <w:rPr>
                <w:rFonts w:hint="eastAsia" w:ascii="宋体" w:hAnsi="宋体" w:eastAsia="宋体" w:cs="宋体"/>
                <w:i w:val="0"/>
                <w:color w:val="000000"/>
                <w:sz w:val="20"/>
                <w:szCs w:val="20"/>
                <w:highlight w:val="none"/>
                <w:u w:val="none"/>
                <w:lang w:val="en-US" w:eastAsia="zh-CN"/>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cs="宋体"/>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400" w:hRule="atLeast"/>
          <w:jc w:val="center"/>
        </w:trPr>
        <w:tc>
          <w:tcPr>
            <w:tcW w:w="91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176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sz w:val="20"/>
                <w:szCs w:val="20"/>
                <w:highlight w:val="none"/>
                <w:u w:val="none"/>
                <w:lang w:val="en-US"/>
              </w:rPr>
            </w:pPr>
            <w:r>
              <w:rPr>
                <w:rFonts w:hint="eastAsia" w:ascii="仿宋" w:hAnsi="仿宋" w:eastAsia="仿宋" w:cs="仿宋"/>
                <w:i w:val="0"/>
                <w:color w:val="000000"/>
                <w:kern w:val="0"/>
                <w:sz w:val="20"/>
                <w:szCs w:val="20"/>
                <w:highlight w:val="none"/>
                <w:u w:val="none"/>
                <w:lang w:val="en-US" w:eastAsia="zh-CN" w:bidi="ar"/>
              </w:rPr>
              <w:t>A4-2基础能力建设</w:t>
            </w:r>
          </w:p>
        </w:tc>
        <w:tc>
          <w:tcPr>
            <w:tcW w:w="77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2</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eastAsia="zh-CN"/>
              </w:rPr>
            </w:pPr>
            <w:r>
              <w:rPr>
                <w:rFonts w:hint="eastAsia" w:ascii="宋体" w:hAnsi="宋体" w:eastAsia="宋体" w:cs="宋体"/>
                <w:i w:val="0"/>
                <w:color w:val="000000"/>
                <w:sz w:val="20"/>
                <w:szCs w:val="20"/>
                <w:highlight w:val="none"/>
                <w:u w:val="none"/>
                <w:lang w:val="en-US" w:eastAsia="zh-CN"/>
              </w:rPr>
              <w:t>2</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highlight w:val="none"/>
                <w:u w:val="none"/>
              </w:rPr>
            </w:pPr>
            <w:r>
              <w:rPr>
                <w:rFonts w:hint="eastAsia" w:ascii="宋体" w:hAnsi="宋体" w:cs="宋体"/>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400" w:hRule="atLeast"/>
          <w:jc w:val="center"/>
        </w:trPr>
        <w:tc>
          <w:tcPr>
            <w:tcW w:w="91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176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sz w:val="20"/>
                <w:szCs w:val="20"/>
                <w:highlight w:val="none"/>
                <w:u w:val="none"/>
                <w:lang w:val="en-US"/>
              </w:rPr>
            </w:pPr>
            <w:r>
              <w:rPr>
                <w:rFonts w:hint="eastAsia" w:ascii="仿宋" w:hAnsi="仿宋" w:eastAsia="仿宋" w:cs="仿宋"/>
                <w:i w:val="0"/>
                <w:color w:val="000000"/>
                <w:kern w:val="0"/>
                <w:sz w:val="20"/>
                <w:szCs w:val="20"/>
                <w:highlight w:val="none"/>
                <w:u w:val="none"/>
                <w:lang w:val="en-US" w:eastAsia="zh-CN" w:bidi="ar"/>
              </w:rPr>
              <w:t>A4-3在职人员控制率</w:t>
            </w:r>
          </w:p>
        </w:tc>
        <w:tc>
          <w:tcPr>
            <w:tcW w:w="77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eastAsia="zh-CN"/>
              </w:rPr>
            </w:pPr>
            <w:r>
              <w:rPr>
                <w:rFonts w:hint="eastAsia" w:ascii="宋体" w:hAnsi="宋体" w:eastAsia="宋体" w:cs="宋体"/>
                <w:i w:val="0"/>
                <w:color w:val="000000"/>
                <w:sz w:val="20"/>
                <w:szCs w:val="20"/>
                <w:highlight w:val="none"/>
                <w:u w:val="none"/>
                <w:lang w:val="en-US" w:eastAsia="zh-CN"/>
              </w:rPr>
              <w:t>1</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eastAsia="zh-CN"/>
              </w:rPr>
            </w:pPr>
            <w:r>
              <w:rPr>
                <w:rFonts w:hint="eastAsia" w:ascii="宋体" w:hAnsi="宋体" w:cs="宋体"/>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400" w:hRule="atLeast"/>
          <w:jc w:val="center"/>
        </w:trPr>
        <w:tc>
          <w:tcPr>
            <w:tcW w:w="912"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176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highlight w:val="none"/>
                <w:u w:val="none"/>
              </w:rPr>
            </w:pPr>
            <w:r>
              <w:rPr>
                <w:rFonts w:hint="eastAsia" w:ascii="仿宋" w:hAnsi="仿宋" w:eastAsia="仿宋" w:cs="仿宋"/>
                <w:i w:val="0"/>
                <w:color w:val="000000"/>
                <w:kern w:val="0"/>
                <w:sz w:val="20"/>
                <w:szCs w:val="20"/>
                <w:highlight w:val="none"/>
                <w:u w:val="none"/>
                <w:lang w:val="en-US" w:eastAsia="zh-CN" w:bidi="ar"/>
              </w:rPr>
              <w:t>小计</w:t>
            </w:r>
          </w:p>
        </w:tc>
        <w:tc>
          <w:tcPr>
            <w:tcW w:w="77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4</w:t>
            </w:r>
          </w:p>
        </w:tc>
        <w:tc>
          <w:tcPr>
            <w:tcW w:w="77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4</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eastAsia="zh-CN"/>
              </w:rPr>
            </w:pPr>
            <w:r>
              <w:rPr>
                <w:rFonts w:hint="eastAsia" w:ascii="宋体" w:hAnsi="宋体" w:cs="宋体"/>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400" w:hRule="atLeast"/>
          <w:jc w:val="center"/>
        </w:trPr>
        <w:tc>
          <w:tcPr>
            <w:tcW w:w="2673"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highlight w:val="none"/>
                <w:u w:val="none"/>
              </w:rPr>
            </w:pPr>
            <w:r>
              <w:rPr>
                <w:rFonts w:hint="eastAsia" w:ascii="仿宋" w:hAnsi="仿宋" w:eastAsia="仿宋" w:cs="仿宋"/>
                <w:i w:val="0"/>
                <w:color w:val="000000"/>
                <w:kern w:val="0"/>
                <w:sz w:val="20"/>
                <w:szCs w:val="20"/>
                <w:highlight w:val="none"/>
                <w:u w:val="none"/>
                <w:lang w:val="en-US" w:eastAsia="zh-CN" w:bidi="ar"/>
              </w:rPr>
              <w:t>合计</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eastAsia="zh-CN"/>
              </w:rPr>
            </w:pPr>
            <w:r>
              <w:rPr>
                <w:rFonts w:hint="eastAsia" w:ascii="宋体" w:hAnsi="宋体" w:eastAsia="宋体" w:cs="宋体"/>
                <w:i w:val="0"/>
                <w:color w:val="000000"/>
                <w:sz w:val="20"/>
                <w:szCs w:val="20"/>
                <w:highlight w:val="none"/>
                <w:u w:val="none"/>
                <w:lang w:val="en-US" w:eastAsia="zh-CN"/>
              </w:rPr>
              <w:t>20</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eastAsia="zh-CN"/>
              </w:rPr>
            </w:pPr>
            <w:r>
              <w:rPr>
                <w:rFonts w:hint="default" w:ascii="宋体" w:hAnsi="宋体" w:eastAsia="宋体" w:cs="宋体"/>
                <w:i w:val="0"/>
                <w:color w:val="000000"/>
                <w:sz w:val="20"/>
                <w:szCs w:val="20"/>
                <w:highlight w:val="none"/>
                <w:u w:val="none"/>
                <w:lang w:val="en-US" w:eastAsia="zh-CN"/>
              </w:rPr>
              <w:t>1</w:t>
            </w:r>
            <w:r>
              <w:rPr>
                <w:rFonts w:hint="eastAsia" w:ascii="宋体" w:hAnsi="宋体" w:eastAsia="宋体" w:cs="宋体"/>
                <w:i w:val="0"/>
                <w:color w:val="000000"/>
                <w:sz w:val="20"/>
                <w:szCs w:val="20"/>
                <w:highlight w:val="none"/>
                <w:u w:val="none"/>
                <w:lang w:val="en-US" w:eastAsia="zh-CN"/>
              </w:rPr>
              <w:t>8</w:t>
            </w:r>
            <w:r>
              <w:rPr>
                <w:rFonts w:hint="default" w:ascii="宋体" w:hAnsi="宋体" w:eastAsia="宋体" w:cs="宋体"/>
                <w:i w:val="0"/>
                <w:color w:val="000000"/>
                <w:sz w:val="20"/>
                <w:szCs w:val="20"/>
                <w:highlight w:val="none"/>
                <w:u w:val="none"/>
                <w:lang w:val="en-US" w:eastAsia="zh-CN"/>
              </w:rPr>
              <w:t>.</w:t>
            </w:r>
            <w:r>
              <w:rPr>
                <w:rFonts w:hint="eastAsia" w:ascii="宋体" w:hAnsi="宋体" w:eastAsia="宋体" w:cs="宋体"/>
                <w:i w:val="0"/>
                <w:color w:val="000000"/>
                <w:sz w:val="20"/>
                <w:szCs w:val="20"/>
                <w:highlight w:val="none"/>
                <w:u w:val="none"/>
                <w:lang w:val="en-US" w:eastAsia="zh-CN"/>
              </w:rPr>
              <w:t>9</w:t>
            </w:r>
          </w:p>
        </w:tc>
        <w:tc>
          <w:tcPr>
            <w:tcW w:w="775"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eastAsia="zh-CN"/>
              </w:rPr>
            </w:pPr>
            <w:r>
              <w:rPr>
                <w:rFonts w:hint="eastAsia" w:ascii="宋体" w:hAnsi="宋体" w:eastAsia="宋体" w:cs="宋体"/>
                <w:i w:val="0"/>
                <w:color w:val="000000"/>
                <w:sz w:val="20"/>
                <w:szCs w:val="20"/>
                <w:highlight w:val="none"/>
                <w:u w:val="none"/>
                <w:lang w:val="en-US" w:eastAsia="zh-CN"/>
              </w:rPr>
              <w:t>94.5%</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2" w:firstLineChars="200"/>
        <w:textAlignment w:val="auto"/>
        <w:rPr>
          <w:rFonts w:hint="default"/>
          <w:b/>
          <w:bCs/>
          <w:sz w:val="28"/>
          <w:szCs w:val="28"/>
          <w:highlight w:val="none"/>
          <w:lang w:val="en-US" w:eastAsia="zh-CN"/>
        </w:rPr>
      </w:pPr>
      <w:r>
        <w:rPr>
          <w:rFonts w:hint="eastAsia"/>
          <w:b/>
          <w:bCs/>
          <w:highlight w:val="none"/>
          <w:lang w:val="en-US" w:eastAsia="zh-CN"/>
        </w:rPr>
        <w:t>1</w:t>
      </w:r>
      <w:r>
        <w:rPr>
          <w:rFonts w:hint="eastAsia"/>
          <w:b/>
          <w:bCs/>
          <w:sz w:val="28"/>
          <w:szCs w:val="28"/>
          <w:highlight w:val="none"/>
          <w:lang w:val="en-US" w:eastAsia="zh-CN"/>
        </w:rPr>
        <w:t>.A1工作目标设定,权重3分，得分3分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2" w:firstLineChars="200"/>
        <w:textAlignment w:val="auto"/>
        <w:rPr>
          <w:rFonts w:hint="default"/>
          <w:b/>
          <w:bCs/>
          <w:sz w:val="28"/>
          <w:szCs w:val="28"/>
          <w:highlight w:val="none"/>
          <w:lang w:val="en-US" w:eastAsia="zh-CN"/>
        </w:rPr>
      </w:pPr>
      <w:r>
        <w:rPr>
          <w:rFonts w:hint="eastAsia"/>
          <w:b/>
          <w:bCs/>
          <w:sz w:val="28"/>
          <w:szCs w:val="28"/>
          <w:highlight w:val="none"/>
          <w:lang w:val="en-US" w:eastAsia="zh-CN"/>
        </w:rPr>
        <w:t>（1）A1-1目标任务设定情况</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sz w:val="28"/>
          <w:szCs w:val="28"/>
          <w:highlight w:val="none"/>
          <w:lang w:val="en-US" w:eastAsia="zh-CN"/>
        </w:rPr>
      </w:pPr>
      <w:r>
        <w:rPr>
          <w:rFonts w:hint="eastAsia" w:ascii="仿宋" w:hAnsi="仿宋" w:eastAsia="仿宋" w:cs="仿宋"/>
          <w:b w:val="0"/>
          <w:bCs w:val="0"/>
          <w:sz w:val="28"/>
          <w:szCs w:val="36"/>
          <w:lang w:val="en-US" w:eastAsia="zh-CN"/>
        </w:rPr>
        <w:t xml:space="preserve">  </w:t>
      </w:r>
      <w:r>
        <w:rPr>
          <w:rFonts w:hint="eastAsia"/>
          <w:sz w:val="28"/>
          <w:szCs w:val="28"/>
          <w:highlight w:val="none"/>
          <w:lang w:val="en-US" w:eastAsia="zh-CN"/>
        </w:rPr>
        <w:t>临猗县老干部局设置的2020年绩效目标是：</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①完成2020年春节慰问离退休干部工作。慰问人数4041人，慰问标准：县处级为慰问金500元和慰问品300元标准；一般离休干部慰问品500元标准；普通退休干部慰问品100元标准。慰问时间2020年春节前完成。</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②完成“两会”服务工作，服务县团级老干部28人，提供陪餐、用车等服务工作。</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③组织离退休干部健康体检，体检人数114人，体检标准420元，体检时间2020年10月。</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④举办老干部工作人员及党支部书记培训班，培训人员：各单位老干部工作协理员、离退休干部党支部成员和老干部局机关全体工作人员，培训内容提高老干部工作人员的业务素质和党务管理水平，熟悉了解新时期老干部工作政策和管理制度，培训时间2020年11月17日。</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⑤2020年度优化老干部活动设施，组建临猗老干部门球队。</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default"/>
          <w:sz w:val="28"/>
          <w:szCs w:val="28"/>
          <w:highlight w:val="none"/>
          <w:lang w:val="en-US" w:eastAsia="zh-CN"/>
        </w:rPr>
      </w:pPr>
      <w:r>
        <w:rPr>
          <w:rFonts w:hint="eastAsia"/>
          <w:sz w:val="28"/>
          <w:szCs w:val="28"/>
          <w:highlight w:val="none"/>
          <w:lang w:val="en-US" w:eastAsia="zh-CN"/>
        </w:rPr>
        <w:t>⑥推进社区“四就近”工作；就近学习活动，就近发挥作用，就近关心照顾，就近医疗。</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⑦组织老年活动中心、老年大学、老干部党支部、老年音乐舞蹈协会、老年书画协会、老年体协开展学习教育及文体活动。</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临猗县老干部局设定的年度任务符合《中共中央组织部关于进一步加强老干部工作的通知》、《山西省委关于进一步加强老干部工作的通知》、《中组部、人事部关于加强干部退休工作的意见》、《山西省委、省政府办公厅关于加强退休干部管理工作的通知》、《中共山西省委组织部、中共山西省委老干部局、山西省人事厅、山西省机构编制委员会、山西省财政厅、山西省民政厅关于退休干部管理工作和政治生活待遇的若干意见》、《中组部、人社部关于进一步加强新形势下离退休干部工作的实施意见》、《中共中央、国务院办公厅关于进一步加强和改进离退休干部工作的意见》、《中共中央组织部关于在春节期间开展慰问老干部活动的通知》、《山西省委、省政府办公厅转发关于进一步发挥离退休干部作用的意见》、《中共中央组织部关于加强离退休干部党支部建设的意见》、《关于国家机关工作人员及离退休人员死亡一次性抚恤金发放有关问题的通知》、《关于事业单位工作人员及离退休人员死亡一次性抚恤金发放有关问题的通知》、《关于提高退休干部活动经费标准的通知》、《关于建立和完善特殊困难离退休干部帮扶机制的意见》、《关于利用社区资源做好离退休干部服务工作的意见》、《山西省委老干部局关于进一步做好困难离退休干部帮扶工作的通知》、《关于调整离休干部特需经费标准的通知》、《山西省委老干部局关于进一步规范离退休干部服务管理有关事项的通知》、《中组部、文化部、教育部、民政部、全国老龄工作委关于做好老年教育工作的通知》、《关于加强老干部活动中心建设和管理的意见》、《关于加快发展老年大学的意见》、《山西省委组织部、山西省老干部局关于进一步加强老干部部门自身建设的意见》等相关文件精神、经济和社会发展规划要求，也与临猗县老干部局三定方案制定的职责相符，预算收支范围和方向具有充分的法规依据。</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ascii="仿宋" w:hAnsi="仿宋" w:eastAsia="仿宋" w:cs="仿宋"/>
          <w:b w:val="0"/>
          <w:bCs w:val="0"/>
          <w:sz w:val="28"/>
          <w:szCs w:val="36"/>
          <w:lang w:val="en-US" w:eastAsia="zh-CN"/>
        </w:rPr>
      </w:pPr>
      <w:r>
        <w:rPr>
          <w:rFonts w:hint="eastAsia"/>
          <w:sz w:val="28"/>
          <w:szCs w:val="28"/>
          <w:highlight w:val="none"/>
          <w:lang w:val="en-US" w:eastAsia="zh-CN"/>
        </w:rPr>
        <w:t>依据评分标准，临猗县老干部局设定的年度工作目标符合国家法律法规、经济和社会发展规划要求，与部门《三定方案》职责相关联，且具有文件依据，得1分；设定的工作目标科学合理、内容全面，得1分；工作目标可衡量，具备量化或定性条件，得1分；</w:t>
      </w:r>
      <w:r>
        <w:rPr>
          <w:rFonts w:hint="eastAsia" w:ascii="仿宋" w:hAnsi="仿宋" w:eastAsia="仿宋" w:cs="仿宋"/>
          <w:b w:val="0"/>
          <w:bCs w:val="0"/>
          <w:sz w:val="28"/>
          <w:szCs w:val="36"/>
          <w:lang w:val="en-US" w:eastAsia="zh-CN"/>
        </w:rPr>
        <w:t>该指标权重3分，得分3分。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02" w:firstLineChars="200"/>
        <w:textAlignment w:val="auto"/>
        <w:rPr>
          <w:rFonts w:hint="default"/>
          <w:b/>
          <w:bCs/>
          <w:sz w:val="28"/>
          <w:szCs w:val="28"/>
          <w:highlight w:val="none"/>
          <w:lang w:val="en-US" w:eastAsia="zh-CN"/>
        </w:rPr>
      </w:pPr>
      <w:r>
        <w:rPr>
          <w:rFonts w:hint="eastAsia"/>
          <w:b/>
          <w:bCs/>
          <w:highlight w:val="none"/>
          <w:lang w:val="en-US" w:eastAsia="zh-CN"/>
        </w:rPr>
        <w:t>2</w:t>
      </w:r>
      <w:r>
        <w:rPr>
          <w:rFonts w:hint="eastAsia"/>
          <w:b/>
          <w:bCs/>
          <w:sz w:val="28"/>
          <w:szCs w:val="28"/>
          <w:highlight w:val="none"/>
          <w:lang w:val="en-US" w:eastAsia="zh-CN"/>
        </w:rPr>
        <w:t>.A2目标任务实现程度,权重11分，得分10.9分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2" w:firstLineChars="200"/>
        <w:textAlignment w:val="auto"/>
        <w:rPr>
          <w:rFonts w:hint="default"/>
          <w:b/>
          <w:bCs/>
          <w:sz w:val="28"/>
          <w:szCs w:val="28"/>
          <w:highlight w:val="none"/>
          <w:lang w:val="en-US" w:eastAsia="zh-CN"/>
        </w:rPr>
      </w:pPr>
      <w:r>
        <w:rPr>
          <w:rFonts w:hint="eastAsia"/>
          <w:b/>
          <w:bCs/>
          <w:sz w:val="28"/>
          <w:szCs w:val="28"/>
          <w:highlight w:val="none"/>
          <w:lang w:val="en-US" w:eastAsia="zh-CN"/>
        </w:rPr>
        <w:t>（1）A2-1待遇落实工作完成情况</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临猗县老干部局政治及生活待遇落实工作情况如下（详见表4-1-1）：</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①临猗县老干部局在2020年春节前对全县4041名离退休干部进行了春节慰问，慰问标准按照县处级为慰问金500元和慰问品300元；一般离休干部慰问品500元；普通退休干部慰问品100元；该项工作已完成，依据评分标准，该指标权重0.5分，得分0.5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②</w:t>
      </w:r>
      <w:r>
        <w:rPr>
          <w:rFonts w:hint="eastAsia" w:cs="Times New Roman"/>
          <w:b w:val="0"/>
          <w:bCs w:val="0"/>
          <w:kern w:val="2"/>
          <w:sz w:val="28"/>
          <w:szCs w:val="28"/>
          <w:highlight w:val="none"/>
          <w:lang w:val="en-US" w:eastAsia="zh-CN" w:bidi="ar-SA"/>
        </w:rPr>
        <w:t>2020年春节慰问老干部时间要求在春节前，通过核实，慰问金及慰问品在春节前已发放完成。此小项得分0.5分。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③临猗县老干部局在2020年4月份对辖区内28名县团级老干部提供了“两会”服务，服务内容包括陪餐、提供用车等服务；该项工作已完成，依据评分标准，该指标权重0.5分，得分0.5分。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④临猗县老干部局2020年度对2名死亡离退休干部进行了死亡抚恤金发放工作，总计发放388,380.00元，按照运民发〔2012〕10号文件规定，发放金额标准为上年度全国城镇人均可支配收入的2倍，及本人生前40个月基本离退休费。该项工作已完成，依据评分标准，该指标权重0.5分，得分0.5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sz w:val="28"/>
          <w:szCs w:val="28"/>
          <w:highlight w:val="none"/>
          <w:lang w:val="en-US" w:eastAsia="zh-CN"/>
        </w:rPr>
      </w:pPr>
      <w:r>
        <w:rPr>
          <w:rFonts w:hint="eastAsia" w:cs="Times New Roman"/>
          <w:b w:val="0"/>
          <w:bCs w:val="0"/>
          <w:kern w:val="2"/>
          <w:sz w:val="28"/>
          <w:szCs w:val="28"/>
          <w:highlight w:val="none"/>
          <w:lang w:val="en-US" w:eastAsia="zh-CN" w:bidi="ar-SA"/>
        </w:rPr>
        <w:t>⑤2020年共发放2名离退休干部死亡抚恤金，时间要求为1个月内申报，经查看《国家机关工作人员病故抚恤金审批表》，申报及审批时间均在固定范围内。此小项得分0.5分。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⑥临猗县老干部局2020年10月份组织离退休干部进行健康体检，应体检人数114人，实际体检人数75人，体检标准为420元/人，经查看体检明细，体检标准未超标。依据评分标准，2020年度组织体检，且参与体检人数与应体检人数一致得0.5分，否则每少1人扣0.1分，扣满1分为止。该指标权重0.5分，得分0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⑦临猗县老干部局在2020年度组织离退休老干部进行健康体检，体检项目为基础体检，详见表4-1-2，未能针对每个老干部身体情况进行专项体检；我国《国家基本公共卫生服务项目》规范要求，各村及社区均在每年组织65岁以上老年人进行健康体检，体检项目与老干部局组织的体检项目有重合，因此应针对重复项目设置专项体检，提高体检质量。依据评分标准，此小项不得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left"/>
        <w:textAlignment w:val="auto"/>
        <w:rPr>
          <w:rFonts w:hint="eastAsia"/>
          <w:sz w:val="28"/>
          <w:szCs w:val="28"/>
          <w:highlight w:val="none"/>
          <w:lang w:val="en-US" w:eastAsia="zh-CN"/>
        </w:rPr>
      </w:pPr>
      <w:r>
        <w:rPr>
          <w:rFonts w:hint="eastAsia" w:cs="Times New Roman"/>
          <w:b w:val="0"/>
          <w:bCs w:val="0"/>
          <w:kern w:val="2"/>
          <w:sz w:val="28"/>
          <w:szCs w:val="28"/>
          <w:highlight w:val="none"/>
          <w:lang w:val="en-US" w:eastAsia="zh-CN" w:bidi="ar-SA"/>
        </w:rPr>
        <w:t>⑧临猗县老干部局2020年度未发生老干部因政治待遇或生活待遇提出投诉的情况，依据评分标准，此小项得分0.5分。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center"/>
        <w:textAlignment w:val="auto"/>
        <w:rPr>
          <w:rFonts w:hint="default"/>
          <w:sz w:val="28"/>
          <w:szCs w:val="28"/>
          <w:highlight w:val="none"/>
          <w:lang w:val="en-US" w:eastAsia="zh-CN"/>
        </w:rPr>
      </w:pPr>
      <w:r>
        <w:rPr>
          <w:rFonts w:hint="eastAsia"/>
          <w:sz w:val="28"/>
          <w:szCs w:val="28"/>
          <w:highlight w:val="none"/>
          <w:lang w:val="en-US" w:eastAsia="zh-CN"/>
        </w:rPr>
        <w:t>表4-1-1  政治待遇及生活待遇落实情况</w:t>
      </w:r>
    </w:p>
    <w:tbl>
      <w:tblPr>
        <w:tblStyle w:val="8"/>
        <w:tblW w:w="9714" w:type="dxa"/>
        <w:tblInd w:w="-5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3"/>
        <w:gridCol w:w="1183"/>
        <w:gridCol w:w="1200"/>
        <w:gridCol w:w="2959"/>
        <w:gridCol w:w="2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723" w:type="dxa"/>
            <w:shd w:val="clear" w:color="auto" w:fill="BEBEBE" w:themeFill="background1" w:themeFillShade="BF"/>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default"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待遇落实内容</w:t>
            </w:r>
          </w:p>
        </w:tc>
        <w:tc>
          <w:tcPr>
            <w:tcW w:w="1183" w:type="dxa"/>
            <w:shd w:val="clear" w:color="auto" w:fill="BEBEBE" w:themeFill="background1" w:themeFillShade="BF"/>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default"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计划人数/范围</w:t>
            </w:r>
          </w:p>
        </w:tc>
        <w:tc>
          <w:tcPr>
            <w:tcW w:w="1200" w:type="dxa"/>
            <w:shd w:val="clear" w:color="auto" w:fill="BEBEBE" w:themeFill="background1" w:themeFillShade="BF"/>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default"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实际人数/范围</w:t>
            </w:r>
          </w:p>
        </w:tc>
        <w:tc>
          <w:tcPr>
            <w:tcW w:w="2959" w:type="dxa"/>
            <w:shd w:val="clear" w:color="auto" w:fill="BEBEBE" w:themeFill="background1" w:themeFillShade="BF"/>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计划标准/范围</w:t>
            </w:r>
          </w:p>
        </w:tc>
        <w:tc>
          <w:tcPr>
            <w:tcW w:w="2649" w:type="dxa"/>
            <w:shd w:val="clear" w:color="auto" w:fill="BEBEBE" w:themeFill="background1" w:themeFillShade="BF"/>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default"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实际标准/范围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72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2020年春节慰问</w:t>
            </w:r>
          </w:p>
        </w:tc>
        <w:tc>
          <w:tcPr>
            <w:tcW w:w="118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4041人</w:t>
            </w:r>
          </w:p>
        </w:tc>
        <w:tc>
          <w:tcPr>
            <w:tcW w:w="12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4041人</w:t>
            </w:r>
          </w:p>
        </w:tc>
        <w:tc>
          <w:tcPr>
            <w:tcW w:w="2959"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县处级：慰问金500元，慰问品300元。一般离休干部：慰问品500元。普通干部：慰问品100元。</w:t>
            </w:r>
          </w:p>
        </w:tc>
        <w:tc>
          <w:tcPr>
            <w:tcW w:w="2649"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县处级：慰问金500元，慰问品300元。一般离休干部：慰问品500元。普通干部：慰问品100元。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“两会”服务</w:t>
            </w:r>
          </w:p>
        </w:tc>
        <w:tc>
          <w:tcPr>
            <w:tcW w:w="118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28人</w:t>
            </w:r>
          </w:p>
        </w:tc>
        <w:tc>
          <w:tcPr>
            <w:tcW w:w="12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28人</w:t>
            </w:r>
          </w:p>
        </w:tc>
        <w:tc>
          <w:tcPr>
            <w:tcW w:w="2959"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县团级老干部</w:t>
            </w:r>
          </w:p>
        </w:tc>
        <w:tc>
          <w:tcPr>
            <w:tcW w:w="2649"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县团级老干部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72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抚恤金发放</w:t>
            </w:r>
          </w:p>
        </w:tc>
        <w:tc>
          <w:tcPr>
            <w:tcW w:w="118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2人</w:t>
            </w:r>
          </w:p>
        </w:tc>
        <w:tc>
          <w:tcPr>
            <w:tcW w:w="12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2人</w:t>
            </w:r>
          </w:p>
        </w:tc>
        <w:tc>
          <w:tcPr>
            <w:tcW w:w="2959"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上年度全国城镇人均可支配收入的2倍，及本人生前40个月基本离退休费。</w:t>
            </w:r>
          </w:p>
        </w:tc>
        <w:tc>
          <w:tcPr>
            <w:tcW w:w="2649"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上年度全国城镇人均可支配收入的2倍，及本人生前40个月基本离退休费。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健康体检</w:t>
            </w:r>
          </w:p>
        </w:tc>
        <w:tc>
          <w:tcPr>
            <w:tcW w:w="1183"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default"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114人</w:t>
            </w:r>
          </w:p>
        </w:tc>
        <w:tc>
          <w:tcPr>
            <w:tcW w:w="1200"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75人</w:t>
            </w:r>
          </w:p>
        </w:tc>
        <w:tc>
          <w:tcPr>
            <w:tcW w:w="2959"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default"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420元/人</w:t>
            </w:r>
          </w:p>
        </w:tc>
        <w:tc>
          <w:tcPr>
            <w:tcW w:w="2649" w:type="dxa"/>
            <w:vAlign w:val="center"/>
          </w:tcPr>
          <w:p>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420元/人</w:t>
            </w:r>
          </w:p>
        </w:tc>
      </w:tr>
    </w:tbl>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jc w:val="center"/>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表4-1-2   体检项目明细</w:t>
      </w:r>
    </w:p>
    <w:tbl>
      <w:tblPr>
        <w:tblStyle w:val="8"/>
        <w:tblW w:w="86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1"/>
        <w:gridCol w:w="43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4321" w:type="dxa"/>
            <w:shd w:val="clear" w:color="auto" w:fill="BEBEBE" w:themeFill="background1" w:themeFillShade="BF"/>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基本公卫体检项目</w:t>
            </w:r>
          </w:p>
        </w:tc>
        <w:tc>
          <w:tcPr>
            <w:tcW w:w="4303" w:type="dxa"/>
            <w:shd w:val="clear" w:color="auto" w:fill="BEBEBE" w:themeFill="background1" w:themeFillShade="BF"/>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老干部局体检项目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21"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一般检查</w:t>
            </w:r>
          </w:p>
        </w:tc>
        <w:tc>
          <w:tcPr>
            <w:tcW w:w="4303"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一般检查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21"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心电图</w:t>
            </w:r>
          </w:p>
        </w:tc>
        <w:tc>
          <w:tcPr>
            <w:tcW w:w="4303"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心电图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21"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腹部B超</w:t>
            </w:r>
          </w:p>
        </w:tc>
        <w:tc>
          <w:tcPr>
            <w:tcW w:w="4303"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腹部彩超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21"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血糖</w:t>
            </w:r>
          </w:p>
        </w:tc>
        <w:tc>
          <w:tcPr>
            <w:tcW w:w="4303"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血糖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21"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血脂</w:t>
            </w:r>
          </w:p>
        </w:tc>
        <w:tc>
          <w:tcPr>
            <w:tcW w:w="4303"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血脂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21"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肝功</w:t>
            </w:r>
          </w:p>
        </w:tc>
        <w:tc>
          <w:tcPr>
            <w:tcW w:w="4303"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肝功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21"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肾功</w:t>
            </w:r>
          </w:p>
        </w:tc>
        <w:tc>
          <w:tcPr>
            <w:tcW w:w="4303"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肾功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21"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血常规</w:t>
            </w:r>
          </w:p>
        </w:tc>
        <w:tc>
          <w:tcPr>
            <w:tcW w:w="4303"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血常规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21"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尿常规</w:t>
            </w:r>
          </w:p>
        </w:tc>
        <w:tc>
          <w:tcPr>
            <w:tcW w:w="4303"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21"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健康评估及健康指导</w:t>
            </w:r>
          </w:p>
        </w:tc>
        <w:tc>
          <w:tcPr>
            <w:tcW w:w="4303"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21"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p>
        </w:tc>
        <w:tc>
          <w:tcPr>
            <w:tcW w:w="4303"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头部CT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321"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p>
        </w:tc>
        <w:tc>
          <w:tcPr>
            <w:tcW w:w="4303" w:type="dxa"/>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胸透</w:t>
            </w:r>
          </w:p>
        </w:tc>
      </w:tr>
    </w:tbl>
    <w:p>
      <w:pPr>
        <w:pStyle w:val="2"/>
        <w:keepNext w:val="0"/>
        <w:keepLines w:val="0"/>
        <w:pageBreakBefore w:val="0"/>
        <w:widowControl w:val="0"/>
        <w:kinsoku/>
        <w:wordWrap/>
        <w:overflowPunct/>
        <w:topLinePunct w:val="0"/>
        <w:autoSpaceDE/>
        <w:autoSpaceDN/>
        <w:bidi w:val="0"/>
        <w:adjustRightInd/>
        <w:snapToGrid/>
        <w:spacing w:line="580" w:lineRule="exact"/>
        <w:ind w:firstLine="281" w:firstLineChars="100"/>
        <w:textAlignment w:val="auto"/>
        <w:rPr>
          <w:rFonts w:hint="default" w:ascii="仿宋_GB2312" w:hAnsi="Times New Roman" w:eastAsia="仿宋_GB2312"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（2）</w:t>
      </w:r>
      <w:r>
        <w:rPr>
          <w:rFonts w:hint="eastAsia" w:hAnsi="Times New Roman" w:cs="Times New Roman"/>
          <w:b/>
          <w:bCs/>
          <w:kern w:val="2"/>
          <w:sz w:val="28"/>
          <w:szCs w:val="28"/>
          <w:highlight w:val="none"/>
          <w:lang w:val="en-US" w:eastAsia="zh-CN" w:bidi="ar-SA"/>
        </w:rPr>
        <w:t>A2</w:t>
      </w:r>
      <w:r>
        <w:rPr>
          <w:rFonts w:hint="default" w:ascii="仿宋_GB2312" w:hAnsi="Times New Roman" w:eastAsia="仿宋_GB2312" w:cs="Times New Roman"/>
          <w:b/>
          <w:bCs/>
          <w:kern w:val="2"/>
          <w:sz w:val="28"/>
          <w:szCs w:val="28"/>
          <w:highlight w:val="none"/>
          <w:lang w:val="en-US" w:eastAsia="zh-CN" w:bidi="ar-SA"/>
        </w:rPr>
        <w:t>-</w:t>
      </w:r>
      <w:r>
        <w:rPr>
          <w:rFonts w:hint="eastAsia" w:hAnsi="Times New Roman" w:cs="Times New Roman"/>
          <w:b/>
          <w:bCs/>
          <w:kern w:val="2"/>
          <w:sz w:val="28"/>
          <w:szCs w:val="28"/>
          <w:highlight w:val="none"/>
          <w:lang w:val="en-US" w:eastAsia="zh-CN" w:bidi="ar-SA"/>
        </w:rPr>
        <w:t>2服务管理</w:t>
      </w:r>
      <w:r>
        <w:rPr>
          <w:rFonts w:hint="default" w:ascii="仿宋_GB2312" w:hAnsi="Times New Roman" w:eastAsia="仿宋_GB2312" w:cs="Times New Roman"/>
          <w:b/>
          <w:bCs/>
          <w:kern w:val="2"/>
          <w:sz w:val="28"/>
          <w:szCs w:val="28"/>
          <w:highlight w:val="none"/>
          <w:lang w:val="en-US" w:eastAsia="zh-CN" w:bidi="ar-SA"/>
        </w:rPr>
        <w:t>工作完成情况</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截至2020年12月，临猗县老干部局共服务管理离退休干部4041人，分布情况见表4-1-3。</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jc w:val="center"/>
        <w:textAlignment w:val="auto"/>
        <w:rPr>
          <w:rFonts w:hint="default"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表4-1-3  2020年临猗县离退休干部分布情况表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1807"/>
        <w:gridCol w:w="1885"/>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blHeader/>
        </w:trPr>
        <w:tc>
          <w:tcPr>
            <w:tcW w:w="2840"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单位</w:t>
            </w:r>
          </w:p>
        </w:tc>
        <w:tc>
          <w:tcPr>
            <w:tcW w:w="1807"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离休</w:t>
            </w:r>
          </w:p>
        </w:tc>
        <w:tc>
          <w:tcPr>
            <w:tcW w:w="1885"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退休</w:t>
            </w:r>
          </w:p>
        </w:tc>
        <w:tc>
          <w:tcPr>
            <w:tcW w:w="1937"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县级</w:t>
            </w:r>
          </w:p>
        </w:tc>
        <w:tc>
          <w:tcPr>
            <w:tcW w:w="180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w:t>
            </w: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27</w:t>
            </w:r>
          </w:p>
        </w:tc>
        <w:tc>
          <w:tcPr>
            <w:tcW w:w="19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县直（无单位）</w:t>
            </w:r>
          </w:p>
        </w:tc>
        <w:tc>
          <w:tcPr>
            <w:tcW w:w="1807"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22</w:t>
            </w: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3</w:t>
            </w:r>
          </w:p>
        </w:tc>
        <w:tc>
          <w:tcPr>
            <w:tcW w:w="1937"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1358+22</w:t>
            </w:r>
          </w:p>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县委</w:t>
            </w:r>
          </w:p>
        </w:tc>
        <w:tc>
          <w:tcPr>
            <w:tcW w:w="180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78</w:t>
            </w:r>
          </w:p>
        </w:tc>
        <w:tc>
          <w:tcPr>
            <w:tcW w:w="193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政府</w:t>
            </w:r>
          </w:p>
        </w:tc>
        <w:tc>
          <w:tcPr>
            <w:tcW w:w="180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239</w:t>
            </w:r>
          </w:p>
        </w:tc>
        <w:tc>
          <w:tcPr>
            <w:tcW w:w="193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宣传</w:t>
            </w:r>
          </w:p>
        </w:tc>
        <w:tc>
          <w:tcPr>
            <w:tcW w:w="180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44</w:t>
            </w:r>
          </w:p>
        </w:tc>
        <w:tc>
          <w:tcPr>
            <w:tcW w:w="193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政法</w:t>
            </w:r>
          </w:p>
        </w:tc>
        <w:tc>
          <w:tcPr>
            <w:tcW w:w="180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122</w:t>
            </w:r>
          </w:p>
        </w:tc>
        <w:tc>
          <w:tcPr>
            <w:tcW w:w="193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教育</w:t>
            </w:r>
          </w:p>
        </w:tc>
        <w:tc>
          <w:tcPr>
            <w:tcW w:w="180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461</w:t>
            </w:r>
          </w:p>
        </w:tc>
        <w:tc>
          <w:tcPr>
            <w:tcW w:w="193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经贸</w:t>
            </w:r>
          </w:p>
        </w:tc>
        <w:tc>
          <w:tcPr>
            <w:tcW w:w="180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67</w:t>
            </w:r>
          </w:p>
        </w:tc>
        <w:tc>
          <w:tcPr>
            <w:tcW w:w="193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农口</w:t>
            </w:r>
          </w:p>
        </w:tc>
        <w:tc>
          <w:tcPr>
            <w:tcW w:w="180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125</w:t>
            </w:r>
          </w:p>
        </w:tc>
        <w:tc>
          <w:tcPr>
            <w:tcW w:w="193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卫生</w:t>
            </w:r>
          </w:p>
        </w:tc>
        <w:tc>
          <w:tcPr>
            <w:tcW w:w="180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196</w:t>
            </w:r>
          </w:p>
        </w:tc>
        <w:tc>
          <w:tcPr>
            <w:tcW w:w="193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乡镇</w:t>
            </w:r>
          </w:p>
        </w:tc>
        <w:tc>
          <w:tcPr>
            <w:tcW w:w="180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23</w:t>
            </w:r>
          </w:p>
        </w:tc>
        <w:tc>
          <w:tcPr>
            <w:tcW w:w="1937"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猗氏镇</w:t>
            </w:r>
          </w:p>
        </w:tc>
        <w:tc>
          <w:tcPr>
            <w:tcW w:w="180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w:t>
            </w: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297</w:t>
            </w:r>
          </w:p>
        </w:tc>
        <w:tc>
          <w:tcPr>
            <w:tcW w:w="19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楚侯乡</w:t>
            </w:r>
          </w:p>
        </w:tc>
        <w:tc>
          <w:tcPr>
            <w:tcW w:w="180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w:t>
            </w: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135</w:t>
            </w:r>
          </w:p>
        </w:tc>
        <w:tc>
          <w:tcPr>
            <w:tcW w:w="19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牛杜镇</w:t>
            </w:r>
          </w:p>
        </w:tc>
        <w:tc>
          <w:tcPr>
            <w:tcW w:w="180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5</w:t>
            </w: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197</w:t>
            </w:r>
          </w:p>
        </w:tc>
        <w:tc>
          <w:tcPr>
            <w:tcW w:w="19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嵋阳镇</w:t>
            </w:r>
          </w:p>
        </w:tc>
        <w:tc>
          <w:tcPr>
            <w:tcW w:w="180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w:t>
            </w: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103</w:t>
            </w:r>
          </w:p>
        </w:tc>
        <w:tc>
          <w:tcPr>
            <w:tcW w:w="19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庙上乡</w:t>
            </w:r>
          </w:p>
        </w:tc>
        <w:tc>
          <w:tcPr>
            <w:tcW w:w="180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w:t>
            </w: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133</w:t>
            </w:r>
          </w:p>
        </w:tc>
        <w:tc>
          <w:tcPr>
            <w:tcW w:w="19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临晋镇</w:t>
            </w:r>
          </w:p>
        </w:tc>
        <w:tc>
          <w:tcPr>
            <w:tcW w:w="180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w:t>
            </w: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180</w:t>
            </w:r>
          </w:p>
        </w:tc>
        <w:tc>
          <w:tcPr>
            <w:tcW w:w="19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七级镇</w:t>
            </w:r>
          </w:p>
        </w:tc>
        <w:tc>
          <w:tcPr>
            <w:tcW w:w="180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w:t>
            </w: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99</w:t>
            </w:r>
          </w:p>
        </w:tc>
        <w:tc>
          <w:tcPr>
            <w:tcW w:w="19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东张镇</w:t>
            </w:r>
          </w:p>
        </w:tc>
        <w:tc>
          <w:tcPr>
            <w:tcW w:w="180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w:t>
            </w: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143</w:t>
            </w:r>
          </w:p>
        </w:tc>
        <w:tc>
          <w:tcPr>
            <w:tcW w:w="19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角杯镇</w:t>
            </w:r>
          </w:p>
        </w:tc>
        <w:tc>
          <w:tcPr>
            <w:tcW w:w="180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w:t>
            </w: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173</w:t>
            </w:r>
          </w:p>
        </w:tc>
        <w:tc>
          <w:tcPr>
            <w:tcW w:w="19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孙吉镇</w:t>
            </w:r>
          </w:p>
        </w:tc>
        <w:tc>
          <w:tcPr>
            <w:tcW w:w="180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3</w:t>
            </w: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224</w:t>
            </w:r>
          </w:p>
        </w:tc>
        <w:tc>
          <w:tcPr>
            <w:tcW w:w="19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耽子镇（卓里）</w:t>
            </w:r>
          </w:p>
        </w:tc>
        <w:tc>
          <w:tcPr>
            <w:tcW w:w="180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w:t>
            </w: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118</w:t>
            </w:r>
          </w:p>
        </w:tc>
        <w:tc>
          <w:tcPr>
            <w:tcW w:w="19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p>
        </w:tc>
        <w:tc>
          <w:tcPr>
            <w:tcW w:w="180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64</w:t>
            </w:r>
          </w:p>
        </w:tc>
        <w:tc>
          <w:tcPr>
            <w:tcW w:w="19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北辛乡</w:t>
            </w:r>
          </w:p>
        </w:tc>
        <w:tc>
          <w:tcPr>
            <w:tcW w:w="180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156</w:t>
            </w:r>
          </w:p>
        </w:tc>
        <w:tc>
          <w:tcPr>
            <w:tcW w:w="19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北景乡（闫庄）</w:t>
            </w:r>
          </w:p>
        </w:tc>
        <w:tc>
          <w:tcPr>
            <w:tcW w:w="180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w:t>
            </w: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260</w:t>
            </w:r>
          </w:p>
        </w:tc>
        <w:tc>
          <w:tcPr>
            <w:tcW w:w="19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p>
        </w:tc>
        <w:tc>
          <w:tcPr>
            <w:tcW w:w="180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117</w:t>
            </w:r>
          </w:p>
        </w:tc>
        <w:tc>
          <w:tcPr>
            <w:tcW w:w="19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三管镇</w:t>
            </w:r>
          </w:p>
        </w:tc>
        <w:tc>
          <w:tcPr>
            <w:tcW w:w="180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108</w:t>
            </w:r>
          </w:p>
        </w:tc>
        <w:tc>
          <w:tcPr>
            <w:tcW w:w="19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外地</w:t>
            </w:r>
          </w:p>
        </w:tc>
        <w:tc>
          <w:tcPr>
            <w:tcW w:w="180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w:t>
            </w: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101</w:t>
            </w:r>
          </w:p>
        </w:tc>
        <w:tc>
          <w:tcPr>
            <w:tcW w:w="19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84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合计</w:t>
            </w:r>
          </w:p>
        </w:tc>
        <w:tc>
          <w:tcPr>
            <w:tcW w:w="180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48</w:t>
            </w:r>
          </w:p>
        </w:tc>
        <w:tc>
          <w:tcPr>
            <w:tcW w:w="1885"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3993</w:t>
            </w:r>
          </w:p>
        </w:tc>
        <w:tc>
          <w:tcPr>
            <w:tcW w:w="19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4041</w:t>
            </w:r>
          </w:p>
        </w:tc>
      </w:tr>
    </w:tbl>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①临猗县老干部局对管辖范围内的4041名离退休干部建立了花名册进行服务管理，对离休干部实行一人一册服务管理。临猗县老干部局在每个单位及各乡镇政府对接1名协理员，干部退休后由原单位协理员将退休审批表报送至老干部局办公室，报送内容包括：入党时间、组织关系、籍贯、现住址、联系电话等信息。依据评分标准，建立管理台账得0.5分，2020年度应服务管理人数与实际管理人数一致的，得分0.5分；该指标权重1分，得分1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②临猗县老干部局2020年度对服务管理范围内的老干部信息进行了梳理更新，更新频率为1年1次，每年在11月底前与人社部门对接，依据人社局提供的人员健康信息，将不符合条件的人移除。依据评分标准，对服务和管理对象的信息进行更新，离退休干部相关信息准确得0.5分；该指标权重0.5分，得分0.5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③临猗县退休干部纳入管理流程是：先由各单位人事协理员向老干部局提交审批，老干部局受理登记。时间为半年1次，经核实，2020年新增退休干部均在规定时间内由临猗县老干部局纳入13710系统中老干部信息系统管理。此小项得分0.5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④临猗县困难离退休干部每年由各单位及乡镇政府协理员向临猗县老干部局提交并审核认定，对符合困难离退休干部标准的，老干部局协调人社、财政、卫生等部门和所在单位配合，落实帮扶措施，对困难老干部家庭子女结构及专业特长了解后，拓宽子女就业渠道，帮助老干部子女就业，同时对困难老干部发放困难补助，发放标准为500-1000元/人。依据评分标准，2020年度临猗县老干部局对认定的困难离退休干部均进行了困难帮扶，得分0.5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⑤临猗县困难离退休干部每年由各单位协理员申报，经老干部局批准并公示后确认，经核实，2020年度认定的困难离退休干部时间符合要求。此小项得分0.5分。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⑥临猗县老干部局2020年共对27名县团级离退休干部进行了节日慰问，与计划人数一致，依据评分标准，节日慰问县团级离退休干部人数与年初计划人数一致，得分0.5分。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⑦临猗县老干部局在2020年授予卫立业等29名离退休干部“全县离退休干部正能量活动先进个人”称号，授予张长茂等10名离退休干部“临猗县老年大学优秀学员”称号，及时总结、宣传了老干部在脱贫攻坚、社会治理、志愿服务等方面的先进事例；同时老干部局和各乡镇每月报送2条老干部工作信息和老干部正能量活动情况，2020年在山西省老干部工作、运城日报、省市县网络媒体信息宣传60条。依据评分标准，在媒体宣传或报送老干部正能量活动情况，宣传老干部先进事例得0.5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ascii="仿宋_GB2312" w:hAnsi="Times New Roman" w:eastAsia="仿宋_GB2312"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（3）</w:t>
      </w:r>
      <w:r>
        <w:rPr>
          <w:rFonts w:hint="eastAsia" w:hAnsi="Times New Roman" w:cs="Times New Roman"/>
          <w:b/>
          <w:bCs/>
          <w:kern w:val="2"/>
          <w:sz w:val="28"/>
          <w:szCs w:val="28"/>
          <w:highlight w:val="none"/>
          <w:lang w:val="en-US" w:eastAsia="zh-CN" w:bidi="ar-SA"/>
        </w:rPr>
        <w:t>A2</w:t>
      </w:r>
      <w:r>
        <w:rPr>
          <w:rFonts w:hint="default" w:ascii="仿宋_GB2312" w:hAnsi="Times New Roman" w:eastAsia="仿宋_GB2312" w:cs="Times New Roman"/>
          <w:b/>
          <w:bCs/>
          <w:kern w:val="2"/>
          <w:sz w:val="28"/>
          <w:szCs w:val="28"/>
          <w:highlight w:val="none"/>
          <w:lang w:val="en-US" w:eastAsia="zh-CN" w:bidi="ar-SA"/>
        </w:rPr>
        <w:t>-</w:t>
      </w:r>
      <w:r>
        <w:rPr>
          <w:rFonts w:hint="eastAsia" w:hAnsi="Times New Roman" w:cs="Times New Roman"/>
          <w:b/>
          <w:bCs/>
          <w:kern w:val="2"/>
          <w:sz w:val="28"/>
          <w:szCs w:val="28"/>
          <w:highlight w:val="none"/>
          <w:lang w:val="en-US" w:eastAsia="zh-CN" w:bidi="ar-SA"/>
        </w:rPr>
        <w:t>3离退休干部及老年人活动阵地管理工作完成情况</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①临猗县老干部局2020年对县老年大学墙体及屋顶进行了修缮，详见表4-1-4。通过查看临猗县老干部活动中心内翻修工程质量，室内外墙面与防水均保持完好，未出现质量问题。依据评分标准，对老年大学及老干部活动中心进行修缮，且未出现质量问题的，得0.2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jc w:val="center"/>
        <w:textAlignment w:val="auto"/>
        <w:rPr>
          <w:rFonts w:hint="default"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表4-1-4  临猗县老年大学2020年翻修明细表</w:t>
      </w:r>
    </w:p>
    <w:tbl>
      <w:tblPr>
        <w:tblStyle w:val="8"/>
        <w:tblW w:w="86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1"/>
        <w:gridCol w:w="1808"/>
        <w:gridCol w:w="1749"/>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81" w:type="dxa"/>
            <w:shd w:val="clear" w:color="auto" w:fill="BEBEBE" w:themeFill="background1" w:themeFillShade="BF"/>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维修项目</w:t>
            </w:r>
          </w:p>
        </w:tc>
        <w:tc>
          <w:tcPr>
            <w:tcW w:w="1808" w:type="dxa"/>
            <w:shd w:val="clear" w:color="auto" w:fill="BEBEBE" w:themeFill="background1" w:themeFillShade="BF"/>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面积</w:t>
            </w:r>
          </w:p>
        </w:tc>
        <w:tc>
          <w:tcPr>
            <w:tcW w:w="1749" w:type="dxa"/>
            <w:shd w:val="clear" w:color="auto" w:fill="BEBEBE" w:themeFill="background1" w:themeFillShade="BF"/>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单价</w:t>
            </w:r>
          </w:p>
        </w:tc>
        <w:tc>
          <w:tcPr>
            <w:tcW w:w="1937" w:type="dxa"/>
            <w:shd w:val="clear" w:color="auto" w:fill="BEBEBE" w:themeFill="background1" w:themeFillShade="BF"/>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1" w:type="dxa"/>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外墙</w:t>
            </w:r>
          </w:p>
        </w:tc>
        <w:tc>
          <w:tcPr>
            <w:tcW w:w="1808"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1062㎡</w:t>
            </w:r>
          </w:p>
        </w:tc>
        <w:tc>
          <w:tcPr>
            <w:tcW w:w="1749"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21元</w:t>
            </w:r>
          </w:p>
        </w:tc>
        <w:tc>
          <w:tcPr>
            <w:tcW w:w="1937"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22,302.00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1" w:type="dxa"/>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内墙</w:t>
            </w:r>
          </w:p>
        </w:tc>
        <w:tc>
          <w:tcPr>
            <w:tcW w:w="1808"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2032㎡</w:t>
            </w:r>
          </w:p>
        </w:tc>
        <w:tc>
          <w:tcPr>
            <w:tcW w:w="1749"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15元</w:t>
            </w:r>
          </w:p>
        </w:tc>
        <w:tc>
          <w:tcPr>
            <w:tcW w:w="1937"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30,480.00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1" w:type="dxa"/>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屋面防水</w:t>
            </w:r>
          </w:p>
        </w:tc>
        <w:tc>
          <w:tcPr>
            <w:tcW w:w="1808"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511.3㎡</w:t>
            </w:r>
          </w:p>
        </w:tc>
        <w:tc>
          <w:tcPr>
            <w:tcW w:w="1749"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45元</w:t>
            </w:r>
          </w:p>
        </w:tc>
        <w:tc>
          <w:tcPr>
            <w:tcW w:w="1937"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23,008.50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1" w:type="dxa"/>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垃圾清运</w:t>
            </w:r>
          </w:p>
        </w:tc>
        <w:tc>
          <w:tcPr>
            <w:tcW w:w="1808"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511.3㎡</w:t>
            </w:r>
          </w:p>
        </w:tc>
        <w:tc>
          <w:tcPr>
            <w:tcW w:w="1749"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5元</w:t>
            </w:r>
          </w:p>
        </w:tc>
        <w:tc>
          <w:tcPr>
            <w:tcW w:w="1937"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2,556.50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1" w:type="dxa"/>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女儿墙维修</w:t>
            </w:r>
          </w:p>
        </w:tc>
        <w:tc>
          <w:tcPr>
            <w:tcW w:w="1808"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40米</w:t>
            </w:r>
          </w:p>
        </w:tc>
        <w:tc>
          <w:tcPr>
            <w:tcW w:w="1749"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50元</w:t>
            </w:r>
          </w:p>
        </w:tc>
        <w:tc>
          <w:tcPr>
            <w:tcW w:w="1937"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1" w:type="dxa"/>
          </w:tcPr>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修补屋面</w:t>
            </w:r>
          </w:p>
        </w:tc>
        <w:tc>
          <w:tcPr>
            <w:tcW w:w="1808"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43㎡</w:t>
            </w:r>
          </w:p>
        </w:tc>
        <w:tc>
          <w:tcPr>
            <w:tcW w:w="1749"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45元</w:t>
            </w:r>
          </w:p>
        </w:tc>
        <w:tc>
          <w:tcPr>
            <w:tcW w:w="1937"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1,935.00</w:t>
            </w:r>
          </w:p>
        </w:tc>
      </w:tr>
    </w:tbl>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②临猗县老干部局在2020年为王申村、西陈村两个村级老年大学采购了桌椅家具，详见表4-1-5。依据评分标准，按照计划开展采购得0.2分。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jc w:val="center"/>
        <w:textAlignment w:val="auto"/>
        <w:rPr>
          <w:rFonts w:hint="default" w:cs="Times New Roman"/>
          <w:b w:val="0"/>
          <w:bCs w:val="0"/>
          <w:kern w:val="2"/>
          <w:sz w:val="28"/>
          <w:szCs w:val="28"/>
          <w:highlight w:val="none"/>
          <w:vertAlign w:val="baseline"/>
          <w:lang w:val="en-US" w:eastAsia="zh-CN" w:bidi="ar-SA"/>
        </w:rPr>
      </w:pPr>
      <w:r>
        <w:rPr>
          <w:rFonts w:hint="eastAsia" w:cs="Times New Roman"/>
          <w:b w:val="0"/>
          <w:bCs w:val="0"/>
          <w:kern w:val="2"/>
          <w:sz w:val="28"/>
          <w:szCs w:val="28"/>
          <w:highlight w:val="none"/>
          <w:lang w:val="en-US" w:eastAsia="zh-CN" w:bidi="ar-SA"/>
        </w:rPr>
        <w:t>表4-1-5  村级老年大学购置明细表</w:t>
      </w:r>
    </w:p>
    <w:tbl>
      <w:tblPr>
        <w:tblStyle w:val="8"/>
        <w:tblW w:w="8658" w:type="dxa"/>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9"/>
        <w:gridCol w:w="960"/>
        <w:gridCol w:w="857"/>
        <w:gridCol w:w="1329"/>
        <w:gridCol w:w="968"/>
        <w:gridCol w:w="1037"/>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109" w:type="dxa"/>
            <w:vMerge w:val="restart"/>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2"/>
                <w:szCs w:val="22"/>
                <w:highlight w:val="none"/>
                <w:vertAlign w:val="baseline"/>
                <w:lang w:val="en-US" w:eastAsia="zh-CN" w:bidi="ar-SA"/>
              </w:rPr>
            </w:pPr>
            <w:r>
              <w:rPr>
                <w:rFonts w:hint="eastAsia" w:ascii="仿宋" w:hAnsi="仿宋" w:eastAsia="仿宋" w:cs="仿宋"/>
                <w:b/>
                <w:bCs/>
                <w:kern w:val="2"/>
                <w:sz w:val="22"/>
                <w:szCs w:val="22"/>
                <w:highlight w:val="none"/>
                <w:vertAlign w:val="baseline"/>
                <w:lang w:val="en-US" w:eastAsia="zh-CN" w:bidi="ar-SA"/>
              </w:rPr>
              <w:t>名称</w:t>
            </w:r>
          </w:p>
        </w:tc>
        <w:tc>
          <w:tcPr>
            <w:tcW w:w="3146" w:type="dxa"/>
            <w:gridSpan w:val="3"/>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2"/>
                <w:szCs w:val="22"/>
                <w:highlight w:val="none"/>
                <w:vertAlign w:val="baseline"/>
                <w:lang w:val="en-US" w:eastAsia="zh-CN" w:bidi="ar-SA"/>
              </w:rPr>
            </w:pPr>
            <w:r>
              <w:rPr>
                <w:rFonts w:hint="eastAsia" w:ascii="仿宋" w:hAnsi="仿宋" w:eastAsia="仿宋" w:cs="仿宋"/>
                <w:b/>
                <w:bCs/>
                <w:kern w:val="2"/>
                <w:sz w:val="22"/>
                <w:szCs w:val="22"/>
                <w:highlight w:val="none"/>
                <w:vertAlign w:val="baseline"/>
                <w:lang w:val="en-US" w:eastAsia="zh-CN" w:bidi="ar-SA"/>
              </w:rPr>
              <w:t>王申村</w:t>
            </w:r>
          </w:p>
        </w:tc>
        <w:tc>
          <w:tcPr>
            <w:tcW w:w="3403" w:type="dxa"/>
            <w:gridSpan w:val="3"/>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2"/>
                <w:szCs w:val="22"/>
                <w:highlight w:val="none"/>
                <w:vertAlign w:val="baseline"/>
                <w:lang w:val="en-US" w:eastAsia="zh-CN" w:bidi="ar-SA"/>
              </w:rPr>
            </w:pPr>
            <w:r>
              <w:rPr>
                <w:rFonts w:hint="eastAsia" w:ascii="仿宋" w:hAnsi="仿宋" w:eastAsia="仿宋" w:cs="仿宋"/>
                <w:b/>
                <w:bCs/>
                <w:kern w:val="2"/>
                <w:sz w:val="22"/>
                <w:szCs w:val="22"/>
                <w:highlight w:val="none"/>
                <w:vertAlign w:val="baseline"/>
                <w:lang w:val="en-US" w:eastAsia="zh-CN" w:bidi="ar-SA"/>
              </w:rPr>
              <w:t>西陈村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2109" w:type="dxa"/>
            <w:vMerge w:val="continue"/>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2"/>
                <w:szCs w:val="22"/>
                <w:highlight w:val="none"/>
                <w:vertAlign w:val="baseline"/>
                <w:lang w:val="en-US" w:eastAsia="zh-CN" w:bidi="ar-SA"/>
              </w:rPr>
            </w:pPr>
          </w:p>
        </w:tc>
        <w:tc>
          <w:tcPr>
            <w:tcW w:w="960"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2"/>
                <w:szCs w:val="22"/>
                <w:highlight w:val="none"/>
                <w:vertAlign w:val="baseline"/>
                <w:lang w:val="en-US" w:eastAsia="zh-CN" w:bidi="ar-SA"/>
              </w:rPr>
            </w:pPr>
            <w:r>
              <w:rPr>
                <w:rFonts w:hint="eastAsia" w:ascii="仿宋" w:hAnsi="仿宋" w:eastAsia="仿宋" w:cs="仿宋"/>
                <w:b/>
                <w:bCs/>
                <w:kern w:val="2"/>
                <w:sz w:val="22"/>
                <w:szCs w:val="22"/>
                <w:highlight w:val="none"/>
                <w:vertAlign w:val="baseline"/>
                <w:lang w:val="en-US" w:eastAsia="zh-CN" w:bidi="ar-SA"/>
              </w:rPr>
              <w:t>数量</w:t>
            </w:r>
          </w:p>
        </w:tc>
        <w:tc>
          <w:tcPr>
            <w:tcW w:w="857"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2"/>
                <w:szCs w:val="22"/>
                <w:highlight w:val="none"/>
                <w:vertAlign w:val="baseline"/>
                <w:lang w:val="en-US" w:eastAsia="zh-CN" w:bidi="ar-SA"/>
              </w:rPr>
            </w:pPr>
            <w:r>
              <w:rPr>
                <w:rFonts w:hint="eastAsia" w:ascii="仿宋" w:hAnsi="仿宋" w:eastAsia="仿宋" w:cs="仿宋"/>
                <w:b/>
                <w:bCs/>
                <w:kern w:val="2"/>
                <w:sz w:val="22"/>
                <w:szCs w:val="22"/>
                <w:highlight w:val="none"/>
                <w:vertAlign w:val="baseline"/>
                <w:lang w:val="en-US" w:eastAsia="zh-CN" w:bidi="ar-SA"/>
              </w:rPr>
              <w:t>单价</w:t>
            </w:r>
          </w:p>
        </w:tc>
        <w:tc>
          <w:tcPr>
            <w:tcW w:w="1329"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2"/>
                <w:szCs w:val="22"/>
                <w:highlight w:val="none"/>
                <w:vertAlign w:val="baseline"/>
                <w:lang w:val="en-US" w:eastAsia="zh-CN" w:bidi="ar-SA"/>
              </w:rPr>
            </w:pPr>
            <w:r>
              <w:rPr>
                <w:rFonts w:hint="eastAsia" w:ascii="仿宋" w:hAnsi="仿宋" w:eastAsia="仿宋" w:cs="仿宋"/>
                <w:b/>
                <w:bCs/>
                <w:kern w:val="2"/>
                <w:sz w:val="22"/>
                <w:szCs w:val="22"/>
                <w:highlight w:val="none"/>
                <w:vertAlign w:val="baseline"/>
                <w:lang w:val="en-US" w:eastAsia="zh-CN" w:bidi="ar-SA"/>
              </w:rPr>
              <w:t>金额</w:t>
            </w:r>
          </w:p>
        </w:tc>
        <w:tc>
          <w:tcPr>
            <w:tcW w:w="968"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2"/>
                <w:szCs w:val="22"/>
                <w:highlight w:val="none"/>
                <w:vertAlign w:val="baseline"/>
                <w:lang w:val="en-US" w:eastAsia="zh-CN" w:bidi="ar-SA"/>
              </w:rPr>
            </w:pPr>
            <w:r>
              <w:rPr>
                <w:rFonts w:hint="eastAsia" w:ascii="仿宋" w:hAnsi="仿宋" w:eastAsia="仿宋" w:cs="仿宋"/>
                <w:b/>
                <w:bCs/>
                <w:kern w:val="2"/>
                <w:sz w:val="22"/>
                <w:szCs w:val="22"/>
                <w:highlight w:val="none"/>
                <w:vertAlign w:val="baseline"/>
                <w:lang w:val="en-US" w:eastAsia="zh-CN" w:bidi="ar-SA"/>
              </w:rPr>
              <w:t>数量</w:t>
            </w:r>
          </w:p>
        </w:tc>
        <w:tc>
          <w:tcPr>
            <w:tcW w:w="1037"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2"/>
                <w:szCs w:val="22"/>
                <w:highlight w:val="none"/>
                <w:vertAlign w:val="baseline"/>
                <w:lang w:val="en-US" w:eastAsia="zh-CN" w:bidi="ar-SA"/>
              </w:rPr>
            </w:pPr>
            <w:r>
              <w:rPr>
                <w:rFonts w:hint="eastAsia" w:ascii="仿宋" w:hAnsi="仿宋" w:eastAsia="仿宋" w:cs="仿宋"/>
                <w:b/>
                <w:bCs/>
                <w:kern w:val="2"/>
                <w:sz w:val="22"/>
                <w:szCs w:val="22"/>
                <w:highlight w:val="none"/>
                <w:vertAlign w:val="baseline"/>
                <w:lang w:val="en-US" w:eastAsia="zh-CN" w:bidi="ar-SA"/>
              </w:rPr>
              <w:t>单价</w:t>
            </w:r>
          </w:p>
        </w:tc>
        <w:tc>
          <w:tcPr>
            <w:tcW w:w="1398"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2"/>
                <w:szCs w:val="22"/>
                <w:highlight w:val="none"/>
                <w:vertAlign w:val="baseline"/>
                <w:lang w:val="en-US" w:eastAsia="zh-CN" w:bidi="ar-SA"/>
              </w:rPr>
            </w:pPr>
            <w:r>
              <w:rPr>
                <w:rFonts w:hint="eastAsia" w:ascii="仿宋" w:hAnsi="仿宋" w:eastAsia="仿宋" w:cs="仿宋"/>
                <w:b/>
                <w:bCs/>
                <w:kern w:val="2"/>
                <w:sz w:val="22"/>
                <w:szCs w:val="22"/>
                <w:highlight w:val="none"/>
                <w:vertAlign w:val="baseline"/>
                <w:lang w:val="en-US" w:eastAsia="zh-CN" w:bidi="ar-SA"/>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9"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2"/>
                <w:szCs w:val="22"/>
                <w:highlight w:val="none"/>
                <w:vertAlign w:val="baseline"/>
                <w:lang w:val="en-US" w:eastAsia="zh-CN" w:bidi="ar-SA"/>
              </w:rPr>
            </w:pPr>
            <w:r>
              <w:rPr>
                <w:rFonts w:hint="eastAsia" w:ascii="仿宋" w:hAnsi="仿宋" w:eastAsia="仿宋" w:cs="仿宋"/>
                <w:b w:val="0"/>
                <w:bCs w:val="0"/>
                <w:kern w:val="2"/>
                <w:sz w:val="22"/>
                <w:szCs w:val="22"/>
                <w:highlight w:val="none"/>
                <w:vertAlign w:val="baseline"/>
                <w:lang w:val="en-US" w:eastAsia="zh-CN" w:bidi="ar-SA"/>
              </w:rPr>
              <w:t>SITZONE广东精-网背钢架办公椅</w:t>
            </w:r>
          </w:p>
        </w:tc>
        <w:tc>
          <w:tcPr>
            <w:tcW w:w="96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2"/>
                <w:szCs w:val="22"/>
                <w:highlight w:val="none"/>
                <w:vertAlign w:val="baseline"/>
                <w:lang w:val="en-US" w:eastAsia="zh-CN" w:bidi="ar-SA"/>
              </w:rPr>
            </w:pPr>
            <w:r>
              <w:rPr>
                <w:rFonts w:hint="eastAsia" w:ascii="仿宋" w:hAnsi="仿宋" w:eastAsia="仿宋" w:cs="仿宋"/>
                <w:b w:val="0"/>
                <w:bCs w:val="0"/>
                <w:kern w:val="2"/>
                <w:sz w:val="22"/>
                <w:szCs w:val="22"/>
                <w:highlight w:val="none"/>
                <w:vertAlign w:val="baseline"/>
                <w:lang w:val="en-US" w:eastAsia="zh-CN" w:bidi="ar-SA"/>
              </w:rPr>
              <w:t>50把</w:t>
            </w:r>
          </w:p>
        </w:tc>
        <w:tc>
          <w:tcPr>
            <w:tcW w:w="85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2"/>
                <w:szCs w:val="22"/>
                <w:highlight w:val="none"/>
                <w:vertAlign w:val="baseline"/>
                <w:lang w:val="en-US" w:eastAsia="zh-CN" w:bidi="ar-SA"/>
              </w:rPr>
            </w:pPr>
            <w:r>
              <w:rPr>
                <w:rFonts w:hint="eastAsia" w:ascii="仿宋" w:hAnsi="仿宋" w:eastAsia="仿宋" w:cs="仿宋"/>
                <w:b w:val="0"/>
                <w:bCs w:val="0"/>
                <w:kern w:val="2"/>
                <w:sz w:val="22"/>
                <w:szCs w:val="22"/>
                <w:highlight w:val="none"/>
                <w:vertAlign w:val="baseline"/>
                <w:lang w:val="en-US" w:eastAsia="zh-CN" w:bidi="ar-SA"/>
              </w:rPr>
              <w:t>280</w:t>
            </w:r>
          </w:p>
        </w:tc>
        <w:tc>
          <w:tcPr>
            <w:tcW w:w="1329"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2"/>
                <w:szCs w:val="22"/>
                <w:highlight w:val="none"/>
                <w:vertAlign w:val="baseline"/>
                <w:lang w:val="en-US" w:eastAsia="zh-CN" w:bidi="ar-SA"/>
              </w:rPr>
            </w:pPr>
            <w:r>
              <w:rPr>
                <w:rFonts w:hint="eastAsia" w:ascii="仿宋" w:hAnsi="仿宋" w:eastAsia="仿宋" w:cs="仿宋"/>
                <w:b w:val="0"/>
                <w:bCs w:val="0"/>
                <w:kern w:val="2"/>
                <w:sz w:val="22"/>
                <w:szCs w:val="22"/>
                <w:highlight w:val="none"/>
                <w:vertAlign w:val="baseline"/>
                <w:lang w:val="en-US" w:eastAsia="zh-CN" w:bidi="ar-SA"/>
              </w:rPr>
              <w:t>14,000.00</w:t>
            </w:r>
          </w:p>
        </w:tc>
        <w:tc>
          <w:tcPr>
            <w:tcW w:w="968"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2"/>
                <w:szCs w:val="22"/>
                <w:highlight w:val="none"/>
                <w:vertAlign w:val="baseline"/>
                <w:lang w:val="en-US" w:eastAsia="zh-CN" w:bidi="ar-SA"/>
              </w:rPr>
            </w:pPr>
            <w:r>
              <w:rPr>
                <w:rFonts w:hint="eastAsia" w:ascii="仿宋" w:hAnsi="仿宋" w:eastAsia="仿宋" w:cs="仿宋"/>
                <w:b w:val="0"/>
                <w:bCs w:val="0"/>
                <w:kern w:val="2"/>
                <w:sz w:val="22"/>
                <w:szCs w:val="22"/>
                <w:highlight w:val="none"/>
                <w:vertAlign w:val="baseline"/>
                <w:lang w:val="en-US" w:eastAsia="zh-CN" w:bidi="ar-SA"/>
              </w:rPr>
              <w:t>70把</w:t>
            </w:r>
          </w:p>
        </w:tc>
        <w:tc>
          <w:tcPr>
            <w:tcW w:w="10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2"/>
                <w:szCs w:val="22"/>
                <w:highlight w:val="none"/>
                <w:vertAlign w:val="baseline"/>
                <w:lang w:val="en-US" w:eastAsia="zh-CN" w:bidi="ar-SA"/>
              </w:rPr>
            </w:pPr>
            <w:r>
              <w:rPr>
                <w:rFonts w:hint="eastAsia" w:ascii="仿宋" w:hAnsi="仿宋" w:eastAsia="仿宋" w:cs="仿宋"/>
                <w:b w:val="0"/>
                <w:bCs w:val="0"/>
                <w:kern w:val="2"/>
                <w:sz w:val="22"/>
                <w:szCs w:val="22"/>
                <w:highlight w:val="none"/>
                <w:vertAlign w:val="baseline"/>
                <w:lang w:val="en-US" w:eastAsia="zh-CN" w:bidi="ar-SA"/>
              </w:rPr>
              <w:t>280</w:t>
            </w:r>
          </w:p>
        </w:tc>
        <w:tc>
          <w:tcPr>
            <w:tcW w:w="1398"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2"/>
                <w:szCs w:val="22"/>
                <w:highlight w:val="none"/>
                <w:vertAlign w:val="baseline"/>
                <w:lang w:val="en-US" w:eastAsia="zh-CN" w:bidi="ar-SA"/>
              </w:rPr>
            </w:pPr>
            <w:r>
              <w:rPr>
                <w:rFonts w:hint="eastAsia" w:ascii="仿宋" w:hAnsi="仿宋" w:eastAsia="仿宋" w:cs="仿宋"/>
                <w:b w:val="0"/>
                <w:bCs w:val="0"/>
                <w:kern w:val="2"/>
                <w:sz w:val="22"/>
                <w:szCs w:val="22"/>
                <w:highlight w:val="none"/>
                <w:vertAlign w:val="baseline"/>
                <w:lang w:val="en-US" w:eastAsia="zh-CN" w:bidi="ar-SA"/>
              </w:rPr>
              <w:t>19,600.00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9"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2"/>
                <w:szCs w:val="22"/>
                <w:highlight w:val="none"/>
                <w:vertAlign w:val="baseline"/>
                <w:lang w:val="en-US" w:eastAsia="zh-CN" w:bidi="ar-SA"/>
              </w:rPr>
            </w:pPr>
            <w:r>
              <w:rPr>
                <w:rFonts w:hint="eastAsia" w:ascii="仿宋" w:hAnsi="仿宋" w:eastAsia="仿宋" w:cs="仿宋"/>
                <w:b w:val="0"/>
                <w:bCs w:val="0"/>
                <w:kern w:val="2"/>
                <w:sz w:val="22"/>
                <w:szCs w:val="22"/>
                <w:highlight w:val="none"/>
                <w:vertAlign w:val="baseline"/>
                <w:lang w:val="en-US" w:eastAsia="zh-CN" w:bidi="ar-SA"/>
              </w:rPr>
              <w:t>YIPINHUANRUN油漆实木贴皮会议桌</w:t>
            </w:r>
          </w:p>
        </w:tc>
        <w:tc>
          <w:tcPr>
            <w:tcW w:w="960"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2"/>
                <w:szCs w:val="22"/>
                <w:highlight w:val="none"/>
                <w:vertAlign w:val="baseline"/>
                <w:lang w:val="en-US" w:eastAsia="zh-CN" w:bidi="ar-SA"/>
              </w:rPr>
            </w:pPr>
            <w:r>
              <w:rPr>
                <w:rFonts w:hint="eastAsia" w:ascii="仿宋" w:hAnsi="仿宋" w:eastAsia="仿宋" w:cs="仿宋"/>
                <w:b w:val="0"/>
                <w:bCs w:val="0"/>
                <w:kern w:val="2"/>
                <w:sz w:val="22"/>
                <w:szCs w:val="22"/>
                <w:highlight w:val="none"/>
                <w:vertAlign w:val="baseline"/>
                <w:lang w:val="en-US" w:eastAsia="zh-CN" w:bidi="ar-SA"/>
              </w:rPr>
              <w:t>7米</w:t>
            </w:r>
          </w:p>
        </w:tc>
        <w:tc>
          <w:tcPr>
            <w:tcW w:w="85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2"/>
                <w:szCs w:val="22"/>
                <w:highlight w:val="none"/>
                <w:vertAlign w:val="baseline"/>
                <w:lang w:val="en-US" w:eastAsia="zh-CN" w:bidi="ar-SA"/>
              </w:rPr>
            </w:pPr>
            <w:r>
              <w:rPr>
                <w:rFonts w:hint="eastAsia" w:ascii="仿宋" w:hAnsi="仿宋" w:eastAsia="仿宋" w:cs="仿宋"/>
                <w:b w:val="0"/>
                <w:bCs w:val="0"/>
                <w:kern w:val="2"/>
                <w:sz w:val="22"/>
                <w:szCs w:val="22"/>
                <w:highlight w:val="none"/>
                <w:vertAlign w:val="baseline"/>
                <w:lang w:val="en-US" w:eastAsia="zh-CN" w:bidi="ar-SA"/>
              </w:rPr>
              <w:t>1960</w:t>
            </w:r>
          </w:p>
        </w:tc>
        <w:tc>
          <w:tcPr>
            <w:tcW w:w="1329"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2"/>
                <w:szCs w:val="22"/>
                <w:highlight w:val="none"/>
                <w:vertAlign w:val="baseline"/>
                <w:lang w:val="en-US" w:eastAsia="zh-CN" w:bidi="ar-SA"/>
              </w:rPr>
            </w:pPr>
            <w:r>
              <w:rPr>
                <w:rFonts w:hint="eastAsia" w:ascii="仿宋" w:hAnsi="仿宋" w:eastAsia="仿宋" w:cs="仿宋"/>
                <w:b w:val="0"/>
                <w:bCs w:val="0"/>
                <w:kern w:val="2"/>
                <w:sz w:val="22"/>
                <w:szCs w:val="22"/>
                <w:highlight w:val="none"/>
                <w:vertAlign w:val="baseline"/>
                <w:lang w:val="en-US" w:eastAsia="zh-CN" w:bidi="ar-SA"/>
              </w:rPr>
              <w:t>13,720.00</w:t>
            </w:r>
          </w:p>
        </w:tc>
        <w:tc>
          <w:tcPr>
            <w:tcW w:w="968"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2"/>
                <w:szCs w:val="22"/>
                <w:highlight w:val="none"/>
                <w:vertAlign w:val="baseline"/>
                <w:lang w:val="en-US" w:eastAsia="zh-CN" w:bidi="ar-SA"/>
              </w:rPr>
            </w:pPr>
            <w:r>
              <w:rPr>
                <w:rFonts w:hint="eastAsia" w:ascii="仿宋" w:hAnsi="仿宋" w:eastAsia="仿宋" w:cs="仿宋"/>
                <w:b w:val="0"/>
                <w:bCs w:val="0"/>
                <w:kern w:val="2"/>
                <w:sz w:val="22"/>
                <w:szCs w:val="22"/>
                <w:highlight w:val="none"/>
                <w:vertAlign w:val="baseline"/>
                <w:lang w:val="en-US" w:eastAsia="zh-CN" w:bidi="ar-SA"/>
              </w:rPr>
              <w:t>6米</w:t>
            </w:r>
          </w:p>
        </w:tc>
        <w:tc>
          <w:tcPr>
            <w:tcW w:w="1037"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2"/>
                <w:szCs w:val="22"/>
                <w:highlight w:val="none"/>
                <w:vertAlign w:val="baseline"/>
                <w:lang w:val="en-US" w:eastAsia="zh-CN" w:bidi="ar-SA"/>
              </w:rPr>
            </w:pPr>
            <w:r>
              <w:rPr>
                <w:rFonts w:hint="eastAsia" w:ascii="仿宋" w:hAnsi="仿宋" w:eastAsia="仿宋" w:cs="仿宋"/>
                <w:b w:val="0"/>
                <w:bCs w:val="0"/>
                <w:kern w:val="2"/>
                <w:sz w:val="22"/>
                <w:szCs w:val="22"/>
                <w:highlight w:val="none"/>
                <w:vertAlign w:val="baseline"/>
                <w:lang w:val="en-US" w:eastAsia="zh-CN" w:bidi="ar-SA"/>
              </w:rPr>
              <w:t>1960</w:t>
            </w:r>
          </w:p>
        </w:tc>
        <w:tc>
          <w:tcPr>
            <w:tcW w:w="1398"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2"/>
                <w:szCs w:val="22"/>
                <w:highlight w:val="none"/>
                <w:vertAlign w:val="baseline"/>
                <w:lang w:val="en-US" w:eastAsia="zh-CN" w:bidi="ar-SA"/>
              </w:rPr>
            </w:pPr>
            <w:r>
              <w:rPr>
                <w:rFonts w:hint="eastAsia" w:ascii="仿宋" w:hAnsi="仿宋" w:eastAsia="仿宋" w:cs="仿宋"/>
                <w:b w:val="0"/>
                <w:bCs w:val="0"/>
                <w:kern w:val="2"/>
                <w:sz w:val="22"/>
                <w:szCs w:val="22"/>
                <w:highlight w:val="none"/>
                <w:vertAlign w:val="baseline"/>
                <w:lang w:val="en-US" w:eastAsia="zh-CN" w:bidi="ar-SA"/>
              </w:rPr>
              <w:t>11,760.00</w:t>
            </w:r>
          </w:p>
        </w:tc>
      </w:tr>
    </w:tbl>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cs="Times New Roman"/>
          <w:b w:val="0"/>
          <w:bCs w:val="0"/>
          <w:kern w:val="2"/>
          <w:sz w:val="28"/>
          <w:szCs w:val="28"/>
          <w:highlight w:val="none"/>
          <w:lang w:val="en-US" w:eastAsia="zh-CN" w:bidi="ar-SA"/>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6"/>
          <w:cols w:space="425" w:num="1"/>
          <w:docGrid w:type="lines" w:linePitch="312" w:charSpace="0"/>
        </w:sectPr>
      </w:pPr>
      <w:r>
        <w:rPr>
          <w:rFonts w:hint="eastAsia" w:cs="Times New Roman"/>
          <w:b w:val="0"/>
          <w:bCs w:val="0"/>
          <w:kern w:val="2"/>
          <w:sz w:val="28"/>
          <w:szCs w:val="28"/>
          <w:highlight w:val="none"/>
          <w:lang w:val="en-US" w:eastAsia="zh-CN" w:bidi="ar-SA"/>
        </w:rPr>
        <w:t>③临猗县老年大学制定了2020年课程表，详见表4-1-6，开展时政理论、文娱戏曲、养生保健、书法绘画、音乐等方面的授课，组织老年大学学员进行学习教育。依据评分标准，按照课程表进行学习教育及文体活动的得0.2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jc w:val="center"/>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表4-1-6    临猗县老年大学2020年度课程表</w:t>
      </w:r>
    </w:p>
    <w:tbl>
      <w:tblPr>
        <w:tblStyle w:val="8"/>
        <w:tblW w:w="15530" w:type="dxa"/>
        <w:tblInd w:w="-6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728"/>
        <w:gridCol w:w="1088"/>
        <w:gridCol w:w="625"/>
        <w:gridCol w:w="729"/>
        <w:gridCol w:w="1500"/>
        <w:gridCol w:w="634"/>
        <w:gridCol w:w="677"/>
        <w:gridCol w:w="1313"/>
        <w:gridCol w:w="607"/>
        <w:gridCol w:w="635"/>
        <w:gridCol w:w="995"/>
        <w:gridCol w:w="540"/>
        <w:gridCol w:w="609"/>
        <w:gridCol w:w="1173"/>
        <w:gridCol w:w="566"/>
        <w:gridCol w:w="660"/>
        <w:gridCol w:w="1217"/>
        <w:gridCol w:w="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3" w:type="dxa"/>
            <w:vMerge w:val="restart"/>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班名</w:t>
            </w:r>
          </w:p>
        </w:tc>
        <w:tc>
          <w:tcPr>
            <w:tcW w:w="2441" w:type="dxa"/>
            <w:gridSpan w:val="3"/>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第一节课</w:t>
            </w:r>
          </w:p>
        </w:tc>
        <w:tc>
          <w:tcPr>
            <w:tcW w:w="2863" w:type="dxa"/>
            <w:gridSpan w:val="3"/>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第二节课</w:t>
            </w:r>
          </w:p>
        </w:tc>
        <w:tc>
          <w:tcPr>
            <w:tcW w:w="2597" w:type="dxa"/>
            <w:gridSpan w:val="3"/>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第三节课</w:t>
            </w:r>
          </w:p>
        </w:tc>
        <w:tc>
          <w:tcPr>
            <w:tcW w:w="2170" w:type="dxa"/>
            <w:gridSpan w:val="3"/>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第四节课</w:t>
            </w:r>
          </w:p>
        </w:tc>
        <w:tc>
          <w:tcPr>
            <w:tcW w:w="2348" w:type="dxa"/>
            <w:gridSpan w:val="3"/>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第五节课</w:t>
            </w:r>
          </w:p>
        </w:tc>
        <w:tc>
          <w:tcPr>
            <w:tcW w:w="2468" w:type="dxa"/>
            <w:gridSpan w:val="3"/>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第六节课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3" w:type="dxa"/>
            <w:vMerge w:val="continue"/>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p>
        </w:tc>
        <w:tc>
          <w:tcPr>
            <w:tcW w:w="728"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时间</w:t>
            </w:r>
          </w:p>
        </w:tc>
        <w:tc>
          <w:tcPr>
            <w:tcW w:w="1088"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内容</w:t>
            </w:r>
          </w:p>
        </w:tc>
        <w:tc>
          <w:tcPr>
            <w:tcW w:w="625"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授课人</w:t>
            </w:r>
          </w:p>
        </w:tc>
        <w:tc>
          <w:tcPr>
            <w:tcW w:w="729"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时间</w:t>
            </w:r>
          </w:p>
        </w:tc>
        <w:tc>
          <w:tcPr>
            <w:tcW w:w="1500"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内容</w:t>
            </w:r>
          </w:p>
        </w:tc>
        <w:tc>
          <w:tcPr>
            <w:tcW w:w="634"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授课人</w:t>
            </w:r>
          </w:p>
        </w:tc>
        <w:tc>
          <w:tcPr>
            <w:tcW w:w="677"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时间</w:t>
            </w:r>
          </w:p>
        </w:tc>
        <w:tc>
          <w:tcPr>
            <w:tcW w:w="1313"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内容</w:t>
            </w:r>
          </w:p>
        </w:tc>
        <w:tc>
          <w:tcPr>
            <w:tcW w:w="607"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授课人</w:t>
            </w:r>
          </w:p>
        </w:tc>
        <w:tc>
          <w:tcPr>
            <w:tcW w:w="635"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时间</w:t>
            </w:r>
          </w:p>
        </w:tc>
        <w:tc>
          <w:tcPr>
            <w:tcW w:w="995"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内容</w:t>
            </w:r>
          </w:p>
        </w:tc>
        <w:tc>
          <w:tcPr>
            <w:tcW w:w="540"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授课人</w:t>
            </w:r>
          </w:p>
        </w:tc>
        <w:tc>
          <w:tcPr>
            <w:tcW w:w="609"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时间</w:t>
            </w:r>
          </w:p>
        </w:tc>
        <w:tc>
          <w:tcPr>
            <w:tcW w:w="1173"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内容</w:t>
            </w:r>
          </w:p>
        </w:tc>
        <w:tc>
          <w:tcPr>
            <w:tcW w:w="566"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授课人</w:t>
            </w:r>
          </w:p>
        </w:tc>
        <w:tc>
          <w:tcPr>
            <w:tcW w:w="660"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时间</w:t>
            </w:r>
          </w:p>
        </w:tc>
        <w:tc>
          <w:tcPr>
            <w:tcW w:w="1217"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内容</w:t>
            </w:r>
          </w:p>
        </w:tc>
        <w:tc>
          <w:tcPr>
            <w:tcW w:w="591"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kern w:val="2"/>
                <w:sz w:val="16"/>
                <w:szCs w:val="16"/>
                <w:highlight w:val="none"/>
                <w:vertAlign w:val="baseline"/>
                <w:lang w:val="en-US" w:eastAsia="zh-CN" w:bidi="ar-SA"/>
              </w:rPr>
            </w:pPr>
            <w:r>
              <w:rPr>
                <w:rFonts w:hint="eastAsia" w:ascii="仿宋" w:hAnsi="仿宋" w:eastAsia="仿宋" w:cs="仿宋"/>
                <w:b/>
                <w:bCs/>
                <w:kern w:val="2"/>
                <w:sz w:val="16"/>
                <w:szCs w:val="16"/>
                <w:highlight w:val="none"/>
                <w:vertAlign w:val="baseline"/>
                <w:lang w:val="en-US" w:eastAsia="zh-CN" w:bidi="ar-SA"/>
              </w:rPr>
              <w:t>授课人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时政理论</w:t>
            </w:r>
          </w:p>
        </w:tc>
        <w:tc>
          <w:tcPr>
            <w:tcW w:w="728"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3月8日</w:t>
            </w:r>
          </w:p>
        </w:tc>
        <w:tc>
          <w:tcPr>
            <w:tcW w:w="1088"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通报县“两会”精神</w:t>
            </w:r>
          </w:p>
        </w:tc>
        <w:tc>
          <w:tcPr>
            <w:tcW w:w="62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吉天明</w:t>
            </w:r>
          </w:p>
        </w:tc>
        <w:tc>
          <w:tcPr>
            <w:tcW w:w="729"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4月8日</w:t>
            </w: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参观运城峨嵋果品博物馆</w:t>
            </w:r>
          </w:p>
        </w:tc>
        <w:tc>
          <w:tcPr>
            <w:tcW w:w="63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老干部局</w:t>
            </w:r>
          </w:p>
        </w:tc>
        <w:tc>
          <w:tcPr>
            <w:tcW w:w="67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5月8日</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学习改革开放40年</w:t>
            </w:r>
          </w:p>
        </w:tc>
        <w:tc>
          <w:tcPr>
            <w:tcW w:w="60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党校教授</w:t>
            </w:r>
          </w:p>
        </w:tc>
        <w:tc>
          <w:tcPr>
            <w:tcW w:w="63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9月8日</w:t>
            </w:r>
          </w:p>
        </w:tc>
        <w:tc>
          <w:tcPr>
            <w:tcW w:w="99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新中国成立70年成就感想</w:t>
            </w:r>
          </w:p>
        </w:tc>
        <w:tc>
          <w:tcPr>
            <w:tcW w:w="54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南章栓</w:t>
            </w:r>
          </w:p>
        </w:tc>
        <w:tc>
          <w:tcPr>
            <w:tcW w:w="609"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10月8日</w:t>
            </w:r>
          </w:p>
        </w:tc>
        <w:tc>
          <w:tcPr>
            <w:tcW w:w="117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庆祝新中国成立70周年</w:t>
            </w:r>
          </w:p>
        </w:tc>
        <w:tc>
          <w:tcPr>
            <w:tcW w:w="56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老干部局</w:t>
            </w:r>
          </w:p>
        </w:tc>
        <w:tc>
          <w:tcPr>
            <w:tcW w:w="66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11月8日</w:t>
            </w:r>
          </w:p>
        </w:tc>
        <w:tc>
          <w:tcPr>
            <w:tcW w:w="121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学习庆祝70周年重要文献精神</w:t>
            </w:r>
          </w:p>
        </w:tc>
        <w:tc>
          <w:tcPr>
            <w:tcW w:w="59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吉天明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文娱戏曲</w:t>
            </w:r>
          </w:p>
        </w:tc>
        <w:tc>
          <w:tcPr>
            <w:tcW w:w="728"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3月10日</w:t>
            </w:r>
          </w:p>
        </w:tc>
        <w:tc>
          <w:tcPr>
            <w:tcW w:w="1088"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老年朋友来相会</w:t>
            </w:r>
          </w:p>
        </w:tc>
        <w:tc>
          <w:tcPr>
            <w:tcW w:w="62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张长茂</w:t>
            </w:r>
          </w:p>
        </w:tc>
        <w:tc>
          <w:tcPr>
            <w:tcW w:w="729"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4月10日</w:t>
            </w: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毛主席著作闪金光</w:t>
            </w:r>
          </w:p>
        </w:tc>
        <w:tc>
          <w:tcPr>
            <w:tcW w:w="63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张长茂</w:t>
            </w:r>
          </w:p>
        </w:tc>
        <w:tc>
          <w:tcPr>
            <w:tcW w:w="67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5月10日</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彩云追月</w:t>
            </w:r>
          </w:p>
        </w:tc>
        <w:tc>
          <w:tcPr>
            <w:tcW w:w="60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张长茂</w:t>
            </w:r>
          </w:p>
        </w:tc>
        <w:tc>
          <w:tcPr>
            <w:tcW w:w="63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9月10日</w:t>
            </w:r>
          </w:p>
        </w:tc>
        <w:tc>
          <w:tcPr>
            <w:tcW w:w="99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说唱脸谱</w:t>
            </w:r>
          </w:p>
        </w:tc>
        <w:tc>
          <w:tcPr>
            <w:tcW w:w="54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张长茂</w:t>
            </w:r>
          </w:p>
        </w:tc>
        <w:tc>
          <w:tcPr>
            <w:tcW w:w="609"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10月10日</w:t>
            </w:r>
          </w:p>
        </w:tc>
        <w:tc>
          <w:tcPr>
            <w:tcW w:w="117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满山花果万里香</w:t>
            </w:r>
          </w:p>
        </w:tc>
        <w:tc>
          <w:tcPr>
            <w:tcW w:w="56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张长茂</w:t>
            </w:r>
          </w:p>
        </w:tc>
        <w:tc>
          <w:tcPr>
            <w:tcW w:w="66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11月10日</w:t>
            </w:r>
          </w:p>
        </w:tc>
        <w:tc>
          <w:tcPr>
            <w:tcW w:w="121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大红枣儿甜又香</w:t>
            </w:r>
          </w:p>
        </w:tc>
        <w:tc>
          <w:tcPr>
            <w:tcW w:w="59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张长茂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养生保健</w:t>
            </w:r>
          </w:p>
        </w:tc>
        <w:tc>
          <w:tcPr>
            <w:tcW w:w="728"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3月12日</w:t>
            </w:r>
          </w:p>
        </w:tc>
        <w:tc>
          <w:tcPr>
            <w:tcW w:w="1088"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学员制定健康目标计划</w:t>
            </w:r>
          </w:p>
        </w:tc>
        <w:tc>
          <w:tcPr>
            <w:tcW w:w="62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王竟胜</w:t>
            </w:r>
          </w:p>
        </w:tc>
        <w:tc>
          <w:tcPr>
            <w:tcW w:w="729"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4月12日</w:t>
            </w: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介绍我国最长寿老人；学习“八段锦”</w:t>
            </w:r>
          </w:p>
        </w:tc>
        <w:tc>
          <w:tcPr>
            <w:tcW w:w="63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王竞胜</w:t>
            </w:r>
          </w:p>
        </w:tc>
        <w:tc>
          <w:tcPr>
            <w:tcW w:w="67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5月12日</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防疫站或同德医院健康讲座</w:t>
            </w:r>
          </w:p>
        </w:tc>
        <w:tc>
          <w:tcPr>
            <w:tcW w:w="60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王竟胜</w:t>
            </w:r>
          </w:p>
        </w:tc>
        <w:tc>
          <w:tcPr>
            <w:tcW w:w="63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9月12日</w:t>
            </w:r>
          </w:p>
        </w:tc>
        <w:tc>
          <w:tcPr>
            <w:tcW w:w="99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秋季养生和忠告；学习“八段锦”</w:t>
            </w:r>
          </w:p>
        </w:tc>
        <w:tc>
          <w:tcPr>
            <w:tcW w:w="54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王竟胜</w:t>
            </w:r>
          </w:p>
        </w:tc>
        <w:tc>
          <w:tcPr>
            <w:tcW w:w="609"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10月12日</w:t>
            </w:r>
          </w:p>
        </w:tc>
        <w:tc>
          <w:tcPr>
            <w:tcW w:w="117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秋季养生重点和忠告；自我保健须知</w:t>
            </w:r>
          </w:p>
        </w:tc>
        <w:tc>
          <w:tcPr>
            <w:tcW w:w="56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王竟胜</w:t>
            </w:r>
          </w:p>
        </w:tc>
        <w:tc>
          <w:tcPr>
            <w:tcW w:w="66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11月12日</w:t>
            </w:r>
          </w:p>
        </w:tc>
        <w:tc>
          <w:tcPr>
            <w:tcW w:w="121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县中医院或县医院健康讲座</w:t>
            </w:r>
          </w:p>
        </w:tc>
        <w:tc>
          <w:tcPr>
            <w:tcW w:w="59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王竟胜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书法绘画</w:t>
            </w:r>
          </w:p>
        </w:tc>
        <w:tc>
          <w:tcPr>
            <w:tcW w:w="728"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3月14日</w:t>
            </w:r>
          </w:p>
        </w:tc>
        <w:tc>
          <w:tcPr>
            <w:tcW w:w="1088"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隶书章法</w:t>
            </w:r>
          </w:p>
        </w:tc>
        <w:tc>
          <w:tcPr>
            <w:tcW w:w="62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薛宏伟</w:t>
            </w:r>
          </w:p>
        </w:tc>
        <w:tc>
          <w:tcPr>
            <w:tcW w:w="729"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4月14日</w:t>
            </w: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草诀歌</w:t>
            </w:r>
          </w:p>
        </w:tc>
        <w:tc>
          <w:tcPr>
            <w:tcW w:w="63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杨峰</w:t>
            </w:r>
          </w:p>
        </w:tc>
        <w:tc>
          <w:tcPr>
            <w:tcW w:w="67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5月14日</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楷书书写与案法</w:t>
            </w:r>
          </w:p>
        </w:tc>
        <w:tc>
          <w:tcPr>
            <w:tcW w:w="60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王高</w:t>
            </w:r>
          </w:p>
        </w:tc>
        <w:tc>
          <w:tcPr>
            <w:tcW w:w="63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9月14日</w:t>
            </w:r>
          </w:p>
        </w:tc>
        <w:tc>
          <w:tcPr>
            <w:tcW w:w="99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花鸟画</w:t>
            </w:r>
          </w:p>
        </w:tc>
        <w:tc>
          <w:tcPr>
            <w:tcW w:w="54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赵存正</w:t>
            </w:r>
          </w:p>
        </w:tc>
        <w:tc>
          <w:tcPr>
            <w:tcW w:w="609"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10月14日</w:t>
            </w:r>
          </w:p>
        </w:tc>
        <w:tc>
          <w:tcPr>
            <w:tcW w:w="117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行书临习与创作</w:t>
            </w:r>
          </w:p>
        </w:tc>
        <w:tc>
          <w:tcPr>
            <w:tcW w:w="56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曹石狮</w:t>
            </w:r>
          </w:p>
        </w:tc>
        <w:tc>
          <w:tcPr>
            <w:tcW w:w="66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11月14日</w:t>
            </w:r>
          </w:p>
        </w:tc>
        <w:tc>
          <w:tcPr>
            <w:tcW w:w="121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行书临习与创作</w:t>
            </w:r>
          </w:p>
        </w:tc>
        <w:tc>
          <w:tcPr>
            <w:tcW w:w="59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曹石狮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音乐</w:t>
            </w:r>
          </w:p>
        </w:tc>
        <w:tc>
          <w:tcPr>
            <w:tcW w:w="728"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3月16日</w:t>
            </w:r>
          </w:p>
        </w:tc>
        <w:tc>
          <w:tcPr>
            <w:tcW w:w="1088"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绣荷包</w:t>
            </w:r>
          </w:p>
        </w:tc>
        <w:tc>
          <w:tcPr>
            <w:tcW w:w="62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张长茂</w:t>
            </w:r>
          </w:p>
        </w:tc>
        <w:tc>
          <w:tcPr>
            <w:tcW w:w="729"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4月16日</w:t>
            </w: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学弹电子琴</w:t>
            </w:r>
          </w:p>
        </w:tc>
        <w:tc>
          <w:tcPr>
            <w:tcW w:w="63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张长茂</w:t>
            </w:r>
          </w:p>
        </w:tc>
        <w:tc>
          <w:tcPr>
            <w:tcW w:w="67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5月16日</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小城故事</w:t>
            </w:r>
          </w:p>
        </w:tc>
        <w:tc>
          <w:tcPr>
            <w:tcW w:w="60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张长茂</w:t>
            </w:r>
          </w:p>
        </w:tc>
        <w:tc>
          <w:tcPr>
            <w:tcW w:w="63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9月16日</w:t>
            </w:r>
          </w:p>
        </w:tc>
        <w:tc>
          <w:tcPr>
            <w:tcW w:w="99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交城山</w:t>
            </w:r>
          </w:p>
        </w:tc>
        <w:tc>
          <w:tcPr>
            <w:tcW w:w="54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张长茂</w:t>
            </w:r>
          </w:p>
        </w:tc>
        <w:tc>
          <w:tcPr>
            <w:tcW w:w="609"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10月16日</w:t>
            </w:r>
          </w:p>
        </w:tc>
        <w:tc>
          <w:tcPr>
            <w:tcW w:w="117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冰糖葫芦</w:t>
            </w:r>
          </w:p>
        </w:tc>
        <w:tc>
          <w:tcPr>
            <w:tcW w:w="56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张长茂</w:t>
            </w:r>
          </w:p>
        </w:tc>
        <w:tc>
          <w:tcPr>
            <w:tcW w:w="66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11月16日</w:t>
            </w:r>
          </w:p>
        </w:tc>
        <w:tc>
          <w:tcPr>
            <w:tcW w:w="121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歌曲总复习</w:t>
            </w:r>
          </w:p>
        </w:tc>
        <w:tc>
          <w:tcPr>
            <w:tcW w:w="59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张长茂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电脑</w:t>
            </w:r>
          </w:p>
        </w:tc>
        <w:tc>
          <w:tcPr>
            <w:tcW w:w="728"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3月18日</w:t>
            </w:r>
          </w:p>
        </w:tc>
        <w:tc>
          <w:tcPr>
            <w:tcW w:w="1088"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电脑操作入门</w:t>
            </w:r>
          </w:p>
        </w:tc>
        <w:tc>
          <w:tcPr>
            <w:tcW w:w="62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樊萌</w:t>
            </w:r>
          </w:p>
        </w:tc>
        <w:tc>
          <w:tcPr>
            <w:tcW w:w="729"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4月18日</w:t>
            </w:r>
          </w:p>
        </w:tc>
        <w:tc>
          <w:tcPr>
            <w:tcW w:w="150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掌握电脑的使用</w:t>
            </w:r>
          </w:p>
        </w:tc>
        <w:tc>
          <w:tcPr>
            <w:tcW w:w="634"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樊萌</w:t>
            </w:r>
          </w:p>
        </w:tc>
        <w:tc>
          <w:tcPr>
            <w:tcW w:w="67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5月18日</w:t>
            </w:r>
          </w:p>
        </w:tc>
        <w:tc>
          <w:tcPr>
            <w:tcW w:w="131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轻松学打字</w:t>
            </w:r>
          </w:p>
        </w:tc>
        <w:tc>
          <w:tcPr>
            <w:tcW w:w="60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樊萌</w:t>
            </w:r>
          </w:p>
        </w:tc>
        <w:tc>
          <w:tcPr>
            <w:tcW w:w="63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9月18日</w:t>
            </w:r>
          </w:p>
        </w:tc>
        <w:tc>
          <w:tcPr>
            <w:tcW w:w="995"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电脑娱乐</w:t>
            </w:r>
          </w:p>
        </w:tc>
        <w:tc>
          <w:tcPr>
            <w:tcW w:w="54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樊萌</w:t>
            </w:r>
          </w:p>
        </w:tc>
        <w:tc>
          <w:tcPr>
            <w:tcW w:w="609"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10月18日</w:t>
            </w:r>
          </w:p>
        </w:tc>
        <w:tc>
          <w:tcPr>
            <w:tcW w:w="117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Windows实用</w:t>
            </w:r>
          </w:p>
        </w:tc>
        <w:tc>
          <w:tcPr>
            <w:tcW w:w="566"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樊萌</w:t>
            </w:r>
          </w:p>
        </w:tc>
        <w:tc>
          <w:tcPr>
            <w:tcW w:w="660"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11月18日</w:t>
            </w:r>
          </w:p>
        </w:tc>
        <w:tc>
          <w:tcPr>
            <w:tcW w:w="1217"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电脑常见问题解决方案</w:t>
            </w:r>
          </w:p>
        </w:tc>
        <w:tc>
          <w:tcPr>
            <w:tcW w:w="591"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樊萌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3"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夕阳红演唱班</w:t>
            </w:r>
          </w:p>
        </w:tc>
        <w:tc>
          <w:tcPr>
            <w:tcW w:w="728" w:type="dxa"/>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周一至周四下午</w:t>
            </w:r>
          </w:p>
        </w:tc>
        <w:tc>
          <w:tcPr>
            <w:tcW w:w="14159" w:type="dxa"/>
            <w:gridSpan w:val="17"/>
            <w:vAlign w:val="center"/>
          </w:tcPr>
          <w:p>
            <w:pPr>
              <w:pStyle w:val="2"/>
              <w:keepNext w:val="0"/>
              <w:keepLines w:val="0"/>
              <w:pageBreakBefore w:val="0"/>
              <w:widowControl w:val="0"/>
              <w:numPr>
                <w:ilvl w:val="0"/>
                <w:numId w:val="2"/>
              </w:numPr>
              <w:kinsoku/>
              <w:wordWrap/>
              <w:overflowPunct/>
              <w:topLinePunct w:val="0"/>
              <w:autoSpaceDE/>
              <w:autoSpaceDN/>
              <w:bidi w:val="0"/>
              <w:adjustRightInd/>
              <w:snapToGrid/>
              <w:spacing w:line="240" w:lineRule="auto"/>
              <w:jc w:val="left"/>
              <w:textAlignment w:val="auto"/>
              <w:rPr>
                <w:rFonts w:hint="eastAsia"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教学腰鼓：排练腰鼓舞《爱我中华》</w:t>
            </w:r>
          </w:p>
          <w:p>
            <w:pPr>
              <w:pStyle w:val="2"/>
              <w:keepNext w:val="0"/>
              <w:keepLines w:val="0"/>
              <w:pageBreakBefore w:val="0"/>
              <w:widowControl w:val="0"/>
              <w:numPr>
                <w:ilvl w:val="0"/>
                <w:numId w:val="2"/>
              </w:numPr>
              <w:kinsoku/>
              <w:wordWrap/>
              <w:overflowPunct/>
              <w:topLinePunct w:val="0"/>
              <w:autoSpaceDE/>
              <w:autoSpaceDN/>
              <w:bidi w:val="0"/>
              <w:adjustRightInd/>
              <w:snapToGrid/>
              <w:spacing w:line="240" w:lineRule="auto"/>
              <w:jc w:val="left"/>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加强二胡培训：联系器乐合奏《庆丰收》</w:t>
            </w:r>
          </w:p>
          <w:p>
            <w:pPr>
              <w:pStyle w:val="2"/>
              <w:keepNext w:val="0"/>
              <w:keepLines w:val="0"/>
              <w:pageBreakBefore w:val="0"/>
              <w:widowControl w:val="0"/>
              <w:numPr>
                <w:ilvl w:val="0"/>
                <w:numId w:val="2"/>
              </w:numPr>
              <w:kinsoku/>
              <w:wordWrap/>
              <w:overflowPunct/>
              <w:topLinePunct w:val="0"/>
              <w:autoSpaceDE/>
              <w:autoSpaceDN/>
              <w:bidi w:val="0"/>
              <w:adjustRightInd/>
              <w:snapToGrid/>
              <w:spacing w:line="240" w:lineRule="auto"/>
              <w:jc w:val="left"/>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排练眉户戏：打碗记</w:t>
            </w:r>
          </w:p>
          <w:p>
            <w:pPr>
              <w:pStyle w:val="2"/>
              <w:keepNext w:val="0"/>
              <w:keepLines w:val="0"/>
              <w:pageBreakBefore w:val="0"/>
              <w:widowControl w:val="0"/>
              <w:numPr>
                <w:ilvl w:val="0"/>
                <w:numId w:val="2"/>
              </w:numPr>
              <w:kinsoku/>
              <w:wordWrap/>
              <w:overflowPunct/>
              <w:topLinePunct w:val="0"/>
              <w:autoSpaceDE/>
              <w:autoSpaceDN/>
              <w:bidi w:val="0"/>
              <w:adjustRightInd/>
              <w:snapToGrid/>
              <w:spacing w:line="240" w:lineRule="auto"/>
              <w:jc w:val="left"/>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复习旧课目：表演唱、小戏</w:t>
            </w:r>
          </w:p>
          <w:p>
            <w:pPr>
              <w:pStyle w:val="2"/>
              <w:keepNext w:val="0"/>
              <w:keepLines w:val="0"/>
              <w:pageBreakBefore w:val="0"/>
              <w:widowControl w:val="0"/>
              <w:numPr>
                <w:ilvl w:val="0"/>
                <w:numId w:val="2"/>
              </w:numPr>
              <w:kinsoku/>
              <w:wordWrap/>
              <w:overflowPunct/>
              <w:topLinePunct w:val="0"/>
              <w:autoSpaceDE/>
              <w:autoSpaceDN/>
              <w:bidi w:val="0"/>
              <w:adjustRightInd/>
              <w:snapToGrid/>
              <w:spacing w:line="240" w:lineRule="auto"/>
              <w:jc w:val="left"/>
              <w:textAlignment w:val="auto"/>
              <w:rPr>
                <w:rFonts w:hint="default" w:ascii="仿宋" w:hAnsi="仿宋" w:eastAsia="仿宋" w:cs="仿宋"/>
                <w:b w:val="0"/>
                <w:bCs w:val="0"/>
                <w:kern w:val="2"/>
                <w:sz w:val="16"/>
                <w:szCs w:val="16"/>
                <w:highlight w:val="none"/>
                <w:vertAlign w:val="baseline"/>
                <w:lang w:val="en-US" w:eastAsia="zh-CN" w:bidi="ar-SA"/>
              </w:rPr>
            </w:pPr>
            <w:r>
              <w:rPr>
                <w:rFonts w:hint="eastAsia" w:ascii="仿宋" w:hAnsi="仿宋" w:eastAsia="仿宋" w:cs="仿宋"/>
                <w:b w:val="0"/>
                <w:bCs w:val="0"/>
                <w:kern w:val="2"/>
                <w:sz w:val="16"/>
                <w:szCs w:val="16"/>
                <w:highlight w:val="none"/>
                <w:vertAlign w:val="baseline"/>
                <w:lang w:val="en-US" w:eastAsia="zh-CN" w:bidi="ar-SA"/>
              </w:rPr>
              <w:t>联系歌曲、戏曲唱段《洪湖水浪打浪》、《戏缘》、《山情》</w:t>
            </w:r>
          </w:p>
        </w:tc>
      </w:tr>
    </w:tbl>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default" w:cs="Times New Roman"/>
          <w:b w:val="0"/>
          <w:bCs w:val="0"/>
          <w:kern w:val="2"/>
          <w:sz w:val="28"/>
          <w:szCs w:val="28"/>
          <w:highlight w:val="none"/>
          <w:lang w:val="en-US"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④临猗县老年书画协会2020年度开展工作包括：2020年1月10日，临猗县老年书画家协会走进卓里集团为员工书写春联，并进行了书画交流活动。2020年12月14日，临猗县老年书画家协会、临猗县农民书画家协会，走进山西临猗黄河鱼病研究所，山西乾泰动物药业有限公司，进行了书画慰问。</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临猗县老年音乐舞蹈协会2020年度开展工作包括：2020年10月25日，临猗县妇联、临猗县音乐舞蹈家协会和北景村妇联文艺队来到北景乡夕阳红敬老院，举办“情暖重阳 敬老爱老”志愿服务活动。</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依据评分标准，未开展活动的老年体协扣0.1分，此小项得分0.1分。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⑤临猗县老干部局于2020年11月17日在临猗县食品酒家举办了《老干部工作人员及老干部党支部培训班》，参会人员包括：各单位老干部工作协理员、离退休干部党支部成员和老干部局机关全体工作人员；培训内容：时政分析研究、老干部工作业务知识、党史学习、传达省离退休干部支部书记培训会议精神、信息写作等方面。依据评分标准，举办老干部党支部培训班得0.1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⑥临猗县离退休干部党支部为每月第一周周一的下午为主题党日活动时间，每月15日为党员活动日，每季度召开1次支部大会，每月召开1次支部委员会和党小组会，党课为1季度1次。依据评分标准，离退休干部党支部组织“三会一课”当年不少于12次得0.1分，此小项得分0.1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ascii="仿宋_GB2312" w:hAnsi="Times New Roman" w:eastAsia="仿宋_GB2312"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（4）</w:t>
      </w:r>
      <w:r>
        <w:rPr>
          <w:rFonts w:hint="eastAsia" w:hAnsi="Times New Roman" w:cs="Times New Roman"/>
          <w:b/>
          <w:bCs/>
          <w:kern w:val="2"/>
          <w:sz w:val="28"/>
          <w:szCs w:val="28"/>
          <w:highlight w:val="none"/>
          <w:lang w:val="en-US" w:eastAsia="zh-CN" w:bidi="ar-SA"/>
        </w:rPr>
        <w:t>A2</w:t>
      </w:r>
      <w:r>
        <w:rPr>
          <w:rFonts w:hint="default" w:ascii="仿宋_GB2312" w:hAnsi="Times New Roman" w:eastAsia="仿宋_GB2312" w:cs="Times New Roman"/>
          <w:b/>
          <w:bCs/>
          <w:kern w:val="2"/>
          <w:sz w:val="28"/>
          <w:szCs w:val="28"/>
          <w:highlight w:val="none"/>
          <w:lang w:val="en-US" w:eastAsia="zh-CN" w:bidi="ar-SA"/>
        </w:rPr>
        <w:t>-</w:t>
      </w:r>
      <w:r>
        <w:rPr>
          <w:rFonts w:hint="eastAsia" w:hAnsi="Times New Roman" w:cs="Times New Roman"/>
          <w:b/>
          <w:bCs/>
          <w:kern w:val="2"/>
          <w:sz w:val="28"/>
          <w:szCs w:val="28"/>
          <w:highlight w:val="none"/>
          <w:lang w:val="en-US" w:eastAsia="zh-CN" w:bidi="ar-SA"/>
        </w:rPr>
        <w:t>4其他工作完成情况</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临猗县老干部局2020年未安排扶贫任务。临猗县老干部局党支部党建情况如下：支部大会和支委会每月召开1次，每月支部组织1次集体学习，每季度组织1次全体党员学习日，每月20日为党员活动日。依据评分标准，当年度“三会一课”不少于12次得1分，该指标权重1分，得分1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2" w:firstLineChars="200"/>
        <w:textAlignment w:val="auto"/>
        <w:rPr>
          <w:rFonts w:hint="default"/>
          <w:b/>
          <w:bCs/>
          <w:sz w:val="28"/>
          <w:szCs w:val="28"/>
          <w:highlight w:val="none"/>
          <w:lang w:val="en-US" w:eastAsia="zh-CN"/>
        </w:rPr>
      </w:pPr>
      <w:r>
        <w:rPr>
          <w:rFonts w:hint="eastAsia"/>
          <w:b/>
          <w:bCs/>
          <w:sz w:val="28"/>
          <w:szCs w:val="28"/>
          <w:highlight w:val="none"/>
          <w:lang w:val="en-US" w:eastAsia="zh-CN"/>
        </w:rPr>
        <w:t>3.A3核心业务能力,权重2分，得分2分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2" w:firstLineChars="200"/>
        <w:textAlignment w:val="auto"/>
        <w:rPr>
          <w:rFonts w:hint="default"/>
          <w:b/>
          <w:bCs/>
          <w:sz w:val="28"/>
          <w:szCs w:val="28"/>
          <w:highlight w:val="none"/>
          <w:lang w:val="en-US" w:eastAsia="zh-CN"/>
        </w:rPr>
      </w:pPr>
      <w:r>
        <w:rPr>
          <w:rFonts w:hint="eastAsia"/>
          <w:b/>
          <w:bCs/>
          <w:sz w:val="28"/>
          <w:szCs w:val="28"/>
          <w:highlight w:val="none"/>
          <w:lang w:val="en-US" w:eastAsia="zh-CN"/>
        </w:rPr>
        <w:t>（1）A3-1待遇落实能力</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 xml:space="preserve"> 临猗县老干部局2020年度能够按照要求将离退休干部政治待遇和生活待遇落实到位，未出现因能力不足而未落实到位的情况。依据评分标准，待遇全部落实的，得1分，该项指标权重1分，得分1分。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2" w:firstLineChars="200"/>
        <w:textAlignment w:val="auto"/>
        <w:rPr>
          <w:rFonts w:hint="default" w:cs="Times New Roman"/>
          <w:b w:val="0"/>
          <w:bCs w:val="0"/>
          <w:kern w:val="2"/>
          <w:sz w:val="28"/>
          <w:szCs w:val="28"/>
          <w:highlight w:val="none"/>
          <w:lang w:val="en-US" w:eastAsia="zh-CN" w:bidi="ar-SA"/>
        </w:rPr>
      </w:pPr>
      <w:r>
        <w:rPr>
          <w:rFonts w:hint="eastAsia"/>
          <w:b/>
          <w:bCs/>
          <w:sz w:val="28"/>
          <w:szCs w:val="28"/>
          <w:highlight w:val="none"/>
          <w:lang w:val="en-US" w:eastAsia="zh-CN"/>
        </w:rPr>
        <w:t>（2）A3-2服务管理水平</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通过查看</w:t>
      </w:r>
      <w:r>
        <w:rPr>
          <w:rFonts w:hint="default" w:cs="Times New Roman"/>
          <w:b w:val="0"/>
          <w:bCs w:val="0"/>
          <w:kern w:val="2"/>
          <w:sz w:val="28"/>
          <w:szCs w:val="28"/>
          <w:highlight w:val="none"/>
          <w:lang w:val="en-US" w:eastAsia="zh-CN" w:bidi="ar-SA"/>
        </w:rPr>
        <w:t>老干部活动中心、离退休干部党支部、老年大学、协会各项学习教育活动</w:t>
      </w:r>
      <w:r>
        <w:rPr>
          <w:rFonts w:hint="eastAsia" w:cs="Times New Roman"/>
          <w:b w:val="0"/>
          <w:bCs w:val="0"/>
          <w:kern w:val="2"/>
          <w:sz w:val="28"/>
          <w:szCs w:val="28"/>
          <w:highlight w:val="none"/>
          <w:lang w:val="en-US" w:eastAsia="zh-CN" w:bidi="ar-SA"/>
        </w:rPr>
        <w:t>开展情况，除老年协会外，均</w:t>
      </w:r>
      <w:r>
        <w:rPr>
          <w:rFonts w:hint="default" w:cs="Times New Roman"/>
          <w:b w:val="0"/>
          <w:bCs w:val="0"/>
          <w:kern w:val="2"/>
          <w:sz w:val="28"/>
          <w:szCs w:val="28"/>
          <w:highlight w:val="none"/>
          <w:lang w:val="en-US" w:eastAsia="zh-CN" w:bidi="ar-SA"/>
        </w:rPr>
        <w:t>具备：具体的培训人员或主持人员、具体的受训学员、详细的学习内容、充足的时间4项保障条件，能为学习质量提供保障条件</w:t>
      </w:r>
      <w:r>
        <w:rPr>
          <w:rFonts w:hint="eastAsia" w:cs="Times New Roman"/>
          <w:b w:val="0"/>
          <w:bCs w:val="0"/>
          <w:kern w:val="2"/>
          <w:sz w:val="28"/>
          <w:szCs w:val="28"/>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2020年度有卫立业等29名离退休干部获“全县离退休干部正能量活动先进个人”称号，张长茂等10名离退休干部获“临猗县老年大学优秀学员”称号，2020年获运城市离退休干部“学习强国”竞赛答题优秀组织奖。</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jc w:val="left"/>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依据评分标准，临猗县老干部局能够按照服务管理要求，对离退休干部进行服务和管理，服务管理水平能够满足需要，得1分，此小项得分1分。老干部活动中心、离退休干部党支部及老年大学教室配置情况详见表4-1-7。</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jc w:val="center"/>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表4-3-7  教室配置情况</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2"/>
        <w:gridCol w:w="5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232"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部门名称</w:t>
            </w:r>
          </w:p>
        </w:tc>
        <w:tc>
          <w:tcPr>
            <w:tcW w:w="5203" w:type="dxa"/>
            <w:shd w:val="clear" w:color="auto" w:fill="BEBEBE" w:themeFill="background1" w:themeFillShade="BF"/>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教室名称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2"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离退休干部党支部</w:t>
            </w:r>
          </w:p>
        </w:tc>
        <w:tc>
          <w:tcPr>
            <w:tcW w:w="5203"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党员活动室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2" w:type="dxa"/>
            <w:vMerge w:val="restart"/>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老干部活动中心、老年大学</w:t>
            </w:r>
          </w:p>
        </w:tc>
        <w:tc>
          <w:tcPr>
            <w:tcW w:w="5203"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展览室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5203"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书画室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5203"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电脑室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5203"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5203"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教育讲堂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5203"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健身室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5203"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夕阳红演唱队活动室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5203"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舞蹈室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5203"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乒乓球室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5203"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2" w:type="dxa"/>
            <w:vMerge w:val="continue"/>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5203" w:type="dxa"/>
            <w:vAlign w:val="center"/>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老干部党校教室</w:t>
            </w: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2" w:firstLineChars="200"/>
        <w:textAlignment w:val="auto"/>
        <w:rPr>
          <w:rFonts w:hint="default"/>
          <w:b/>
          <w:bCs/>
          <w:sz w:val="28"/>
          <w:szCs w:val="28"/>
          <w:highlight w:val="none"/>
          <w:lang w:val="en-US" w:eastAsia="zh-CN"/>
        </w:rPr>
      </w:pPr>
      <w:r>
        <w:rPr>
          <w:rFonts w:hint="eastAsia"/>
          <w:b/>
          <w:bCs/>
          <w:sz w:val="28"/>
          <w:szCs w:val="28"/>
          <w:highlight w:val="none"/>
          <w:lang w:val="en-US" w:eastAsia="zh-CN"/>
        </w:rPr>
        <w:t>4.A4基础管理,权重4分，得分4分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2" w:firstLineChars="200"/>
        <w:textAlignment w:val="auto"/>
        <w:rPr>
          <w:rFonts w:hint="default"/>
          <w:b/>
          <w:bCs/>
          <w:sz w:val="28"/>
          <w:szCs w:val="28"/>
          <w:highlight w:val="none"/>
          <w:lang w:val="en-US" w:eastAsia="zh-CN"/>
        </w:rPr>
      </w:pPr>
      <w:r>
        <w:rPr>
          <w:rFonts w:hint="eastAsia"/>
          <w:b/>
          <w:bCs/>
          <w:sz w:val="28"/>
          <w:szCs w:val="28"/>
          <w:highlight w:val="none"/>
          <w:lang w:val="en-US" w:eastAsia="zh-CN"/>
        </w:rPr>
        <w:t>（1）A4-1依法行政</w:t>
      </w:r>
    </w:p>
    <w:p>
      <w:pPr>
        <w:ind w:firstLine="560"/>
        <w:rPr>
          <w:rFonts w:hint="eastAsia" w:ascii="仿宋" w:hAnsi="仿宋" w:eastAsia="仿宋" w:cs="仿宋"/>
          <w:b w:val="0"/>
          <w:bCs w:val="0"/>
          <w:sz w:val="28"/>
          <w:szCs w:val="36"/>
          <w:lang w:val="en-US" w:eastAsia="zh-CN"/>
        </w:rPr>
      </w:pPr>
      <w:r>
        <w:rPr>
          <w:rFonts w:hint="eastAsia" w:ascii="仿宋" w:hAnsi="仿宋" w:eastAsia="仿宋" w:cs="仿宋"/>
          <w:b w:val="0"/>
          <w:bCs w:val="0"/>
          <w:sz w:val="28"/>
          <w:szCs w:val="36"/>
          <w:lang w:val="en-US" w:eastAsia="zh-CN"/>
        </w:rPr>
        <w:t>临猗县老干部局依法履职是根据中央国务院及山西省层面的若干政策文件，如：《中共中央关于建立老干部退休制度的决定》、《中组部、人事部关于加强退休干部工作的意见》、《山西省关于进一步加强和改进离退休干部工作的实施意见》等，均对离退休干部政治待遇、生活待遇等方面的落实工作进行了制度规范，为临猗县老干部局履职提供了依据。依据评分标准，履行职责所依据的法律法规充分，得1分，该指标权重1分，得分1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2" w:firstLineChars="200"/>
        <w:textAlignment w:val="auto"/>
        <w:rPr>
          <w:rFonts w:hint="default"/>
          <w:b/>
          <w:bCs/>
          <w:sz w:val="28"/>
          <w:szCs w:val="28"/>
          <w:highlight w:val="none"/>
          <w:lang w:val="en-US" w:eastAsia="zh-CN"/>
        </w:rPr>
      </w:pPr>
      <w:r>
        <w:rPr>
          <w:rFonts w:hint="eastAsia"/>
          <w:b/>
          <w:bCs/>
          <w:sz w:val="28"/>
          <w:szCs w:val="28"/>
          <w:highlight w:val="none"/>
          <w:lang w:val="en-US" w:eastAsia="zh-CN"/>
        </w:rPr>
        <w:t>（2）A4-2基础能力建设</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cs="Times New Roman"/>
          <w:b w:val="0"/>
          <w:bCs w:val="0"/>
          <w:kern w:val="2"/>
          <w:sz w:val="28"/>
          <w:szCs w:val="28"/>
          <w:highlight w:val="none"/>
          <w:lang w:val="en-US" w:eastAsia="zh-CN" w:bidi="ar-SA"/>
        </w:rPr>
      </w:pPr>
      <w:r>
        <w:rPr>
          <w:rFonts w:hint="eastAsia" w:ascii="仿宋" w:hAnsi="仿宋" w:eastAsia="仿宋" w:cs="仿宋"/>
          <w:b w:val="0"/>
          <w:bCs w:val="0"/>
          <w:sz w:val="28"/>
          <w:szCs w:val="36"/>
          <w:lang w:val="en-US" w:eastAsia="zh-CN"/>
        </w:rPr>
        <w:t xml:space="preserve">  ①</w:t>
      </w:r>
      <w:r>
        <w:rPr>
          <w:rFonts w:hint="eastAsia" w:cs="Times New Roman"/>
          <w:b w:val="0"/>
          <w:bCs w:val="0"/>
          <w:kern w:val="2"/>
          <w:sz w:val="28"/>
          <w:szCs w:val="28"/>
          <w:highlight w:val="none"/>
          <w:lang w:val="en-US" w:eastAsia="zh-CN" w:bidi="ar-SA"/>
        </w:rPr>
        <w:t>临猗县老干部局制定了政府采购业务管理制度、督查工作制度、议事决策制度、精神文明创建工作制度、三重一大集体决策制度、内部控制制度、固定资产内部管理制度。依据评分标准，管理制度全面且合法合规完整的得1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1"/>
        <w:rPr>
          <w:rFonts w:hint="default" w:cs="Times New Roman"/>
          <w:b/>
          <w:bCs/>
          <w:kern w:val="2"/>
          <w:sz w:val="28"/>
          <w:szCs w:val="28"/>
          <w:highlight w:val="none"/>
          <w:lang w:val="en-US" w:eastAsia="zh-CN" w:bidi="ar-SA"/>
        </w:rPr>
      </w:pPr>
      <w:r>
        <w:rPr>
          <w:rFonts w:hint="eastAsia" w:cs="Times New Roman"/>
          <w:b w:val="0"/>
          <w:bCs w:val="0"/>
          <w:kern w:val="2"/>
          <w:sz w:val="28"/>
          <w:szCs w:val="28"/>
          <w:highlight w:val="none"/>
          <w:lang w:val="en-US" w:eastAsia="zh-CN" w:bidi="ar-SA"/>
        </w:rPr>
        <w:t>②通过查看临猗县老干部局在履行主要职责过程中业务管理制度的运行情况，临猗县老干部局能够严格按照业务管理制度执行相应程序流程。依据评分标准，严格按照业务管理制度执行的得1分。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2" w:firstLineChars="200"/>
        <w:textAlignment w:val="auto"/>
        <w:rPr>
          <w:rFonts w:hint="default"/>
          <w:b/>
          <w:bCs/>
          <w:sz w:val="28"/>
          <w:szCs w:val="28"/>
          <w:highlight w:val="none"/>
          <w:lang w:val="en-US" w:eastAsia="zh-CN"/>
        </w:rPr>
      </w:pPr>
      <w:r>
        <w:rPr>
          <w:rFonts w:hint="eastAsia"/>
          <w:b/>
          <w:bCs/>
          <w:sz w:val="28"/>
          <w:szCs w:val="28"/>
          <w:highlight w:val="none"/>
          <w:lang w:val="en-US" w:eastAsia="zh-CN"/>
        </w:rPr>
        <w:t>（3）A4-3在职人员控制率</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sz w:val="28"/>
          <w:szCs w:val="28"/>
          <w:highlight w:val="none"/>
          <w:lang w:val="en-US" w:eastAsia="zh-CN"/>
        </w:rPr>
      </w:pPr>
      <w:r>
        <w:rPr>
          <w:rFonts w:hint="eastAsia" w:ascii="仿宋" w:hAnsi="仿宋" w:eastAsia="仿宋" w:cs="仿宋"/>
          <w:b w:val="0"/>
          <w:bCs w:val="0"/>
          <w:sz w:val="28"/>
          <w:szCs w:val="36"/>
          <w:lang w:val="en-US" w:eastAsia="zh-CN"/>
        </w:rPr>
        <w:t xml:space="preserve">  </w:t>
      </w:r>
      <w:r>
        <w:rPr>
          <w:rFonts w:hint="eastAsia"/>
          <w:sz w:val="28"/>
          <w:szCs w:val="28"/>
          <w:highlight w:val="none"/>
          <w:lang w:val="en-US" w:eastAsia="zh-CN"/>
        </w:rPr>
        <w:t>临猗县老干部局行政编制8名，事业编制5名，截至2020年12月31日，该局实有行政编制人员8人，事业编制人员4人。</w:t>
      </w:r>
      <w:r>
        <w:rPr>
          <w:rFonts w:hint="default"/>
          <w:sz w:val="28"/>
          <w:szCs w:val="28"/>
          <w:highlight w:val="none"/>
          <w:lang w:val="en-US" w:eastAsia="zh-CN"/>
        </w:rPr>
        <w:t>在职人员控制率=</w:t>
      </w:r>
      <w:r>
        <w:rPr>
          <w:rFonts w:hint="eastAsia"/>
          <w:sz w:val="28"/>
          <w:szCs w:val="28"/>
          <w:highlight w:val="none"/>
          <w:lang w:val="en-US" w:eastAsia="zh-CN"/>
        </w:rPr>
        <w:t>（12</w:t>
      </w:r>
      <w:r>
        <w:rPr>
          <w:rFonts w:hint="default"/>
          <w:sz w:val="28"/>
          <w:szCs w:val="28"/>
          <w:highlight w:val="none"/>
          <w:lang w:val="en-US" w:eastAsia="zh-CN"/>
        </w:rPr>
        <w:t>/</w:t>
      </w:r>
      <w:r>
        <w:rPr>
          <w:rFonts w:hint="eastAsia"/>
          <w:sz w:val="28"/>
          <w:szCs w:val="28"/>
          <w:highlight w:val="none"/>
          <w:lang w:val="en-US" w:eastAsia="zh-CN"/>
        </w:rPr>
        <w:t>13）×</w:t>
      </w:r>
      <w:r>
        <w:rPr>
          <w:rFonts w:hint="default"/>
          <w:sz w:val="28"/>
          <w:szCs w:val="28"/>
          <w:highlight w:val="none"/>
          <w:lang w:val="en-US" w:eastAsia="zh-CN"/>
        </w:rPr>
        <w:t>100%=</w:t>
      </w:r>
      <w:r>
        <w:rPr>
          <w:rFonts w:hint="eastAsia"/>
          <w:sz w:val="28"/>
          <w:szCs w:val="28"/>
          <w:highlight w:val="none"/>
          <w:lang w:val="en-US" w:eastAsia="zh-CN"/>
        </w:rPr>
        <w:t>92.31</w:t>
      </w:r>
      <w:r>
        <w:rPr>
          <w:rFonts w:hint="default"/>
          <w:sz w:val="28"/>
          <w:szCs w:val="28"/>
          <w:highlight w:val="none"/>
          <w:lang w:val="en-US" w:eastAsia="zh-CN"/>
        </w:rPr>
        <w:t>%</w:t>
      </w:r>
      <w:r>
        <w:rPr>
          <w:rFonts w:hint="eastAsia"/>
          <w:sz w:val="28"/>
          <w:szCs w:val="28"/>
          <w:highlight w:val="none"/>
          <w:lang w:val="en-US" w:eastAsia="zh-CN"/>
        </w:rPr>
        <w:t>，根据评分标准，在职人员控制率小于100%的</w:t>
      </w:r>
      <w:r>
        <w:rPr>
          <w:rFonts w:hint="default"/>
          <w:sz w:val="28"/>
          <w:szCs w:val="28"/>
          <w:highlight w:val="none"/>
          <w:lang w:val="en-US" w:eastAsia="zh-CN"/>
        </w:rPr>
        <w:t>得满分</w:t>
      </w:r>
      <w:r>
        <w:rPr>
          <w:rFonts w:hint="eastAsia"/>
          <w:sz w:val="28"/>
          <w:szCs w:val="28"/>
          <w:highlight w:val="none"/>
          <w:lang w:val="en-US" w:eastAsia="zh-CN"/>
        </w:rPr>
        <w:t>；该指标权重1分，得分1分。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2" w:firstLineChars="200"/>
        <w:textAlignment w:val="auto"/>
        <w:outlineLvl w:val="1"/>
        <w:rPr>
          <w:rFonts w:hint="default"/>
          <w:b/>
          <w:bCs/>
          <w:sz w:val="28"/>
          <w:szCs w:val="28"/>
          <w:highlight w:val="none"/>
          <w:lang w:val="en-US" w:eastAsia="zh-CN"/>
        </w:rPr>
      </w:pPr>
      <w:bookmarkStart w:id="70" w:name="_Toc983"/>
      <w:r>
        <w:rPr>
          <w:rFonts w:hint="default"/>
          <w:b/>
          <w:bCs/>
          <w:sz w:val="28"/>
          <w:szCs w:val="28"/>
          <w:highlight w:val="none"/>
          <w:lang w:val="en-US" w:eastAsia="zh-CN"/>
        </w:rPr>
        <w:t>（</w:t>
      </w:r>
      <w:r>
        <w:rPr>
          <w:rFonts w:hint="eastAsia"/>
          <w:b/>
          <w:bCs/>
          <w:sz w:val="28"/>
          <w:szCs w:val="28"/>
          <w:highlight w:val="none"/>
          <w:lang w:val="en-US" w:eastAsia="zh-CN"/>
        </w:rPr>
        <w:t>二</w:t>
      </w:r>
      <w:r>
        <w:rPr>
          <w:rFonts w:hint="default"/>
          <w:b/>
          <w:bCs/>
          <w:sz w:val="28"/>
          <w:szCs w:val="28"/>
          <w:highlight w:val="none"/>
          <w:lang w:val="en-US" w:eastAsia="zh-CN"/>
        </w:rPr>
        <w:t>）</w:t>
      </w:r>
      <w:r>
        <w:rPr>
          <w:rFonts w:hint="eastAsia"/>
          <w:b/>
          <w:bCs/>
          <w:sz w:val="28"/>
          <w:szCs w:val="28"/>
          <w:highlight w:val="none"/>
          <w:lang w:val="en-US" w:eastAsia="zh-CN"/>
        </w:rPr>
        <w:t>管理效率</w:t>
      </w:r>
      <w:r>
        <w:rPr>
          <w:rFonts w:hint="default"/>
          <w:b/>
          <w:bCs/>
          <w:sz w:val="28"/>
          <w:szCs w:val="28"/>
          <w:highlight w:val="none"/>
          <w:lang w:val="en-US" w:eastAsia="zh-CN"/>
        </w:rPr>
        <w:t>分析</w:t>
      </w:r>
      <w:bookmarkEnd w:id="70"/>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仿宋_GB2312" w:hAnsi="Times New Roman" w:eastAsia="仿宋_GB2312" w:cs="Times New Roman"/>
          <w:b w:val="0"/>
          <w:bCs w:val="0"/>
          <w:kern w:val="2"/>
          <w:sz w:val="28"/>
          <w:szCs w:val="28"/>
          <w:highlight w:val="none"/>
          <w:lang w:val="en-US" w:eastAsia="zh-CN" w:bidi="ar-SA"/>
        </w:rPr>
      </w:pPr>
      <w:r>
        <w:rPr>
          <w:rFonts w:hint="eastAsia" w:ascii="仿宋_GB2312" w:eastAsia="仿宋_GB2312" w:cs="Times New Roman"/>
          <w:b w:val="0"/>
          <w:bCs w:val="0"/>
          <w:kern w:val="2"/>
          <w:sz w:val="28"/>
          <w:szCs w:val="28"/>
          <w:highlight w:val="none"/>
          <w:lang w:val="en-US" w:eastAsia="zh-CN" w:bidi="ar-SA"/>
        </w:rPr>
        <w:t>管理效率分析</w:t>
      </w:r>
      <w:r>
        <w:rPr>
          <w:rFonts w:hint="default" w:ascii="仿宋_GB2312" w:hAnsi="Times New Roman" w:eastAsia="仿宋_GB2312" w:cs="Times New Roman"/>
          <w:b w:val="0"/>
          <w:bCs w:val="0"/>
          <w:kern w:val="2"/>
          <w:sz w:val="28"/>
          <w:szCs w:val="28"/>
          <w:highlight w:val="none"/>
          <w:lang w:val="en-US" w:eastAsia="zh-CN" w:bidi="ar-SA"/>
        </w:rPr>
        <w:t>分别从</w:t>
      </w:r>
      <w:r>
        <w:rPr>
          <w:rFonts w:hint="eastAsia" w:ascii="仿宋_GB2312" w:eastAsia="仿宋_GB2312" w:cs="Times New Roman"/>
          <w:b w:val="0"/>
          <w:bCs w:val="0"/>
          <w:kern w:val="2"/>
          <w:sz w:val="28"/>
          <w:szCs w:val="28"/>
          <w:highlight w:val="none"/>
          <w:lang w:val="en-US" w:eastAsia="zh-CN" w:bidi="ar-SA"/>
        </w:rPr>
        <w:t>预算管理、财务管理、资产管理、其他管理四</w:t>
      </w:r>
      <w:r>
        <w:rPr>
          <w:rFonts w:hint="default" w:ascii="仿宋_GB2312" w:hAnsi="Times New Roman" w:eastAsia="仿宋_GB2312" w:cs="Times New Roman"/>
          <w:b w:val="0"/>
          <w:bCs w:val="0"/>
          <w:kern w:val="2"/>
          <w:sz w:val="28"/>
          <w:szCs w:val="28"/>
          <w:highlight w:val="none"/>
          <w:lang w:val="en-US" w:eastAsia="zh-CN" w:bidi="ar-SA"/>
        </w:rPr>
        <w:t>个方面进行分析，共设置</w:t>
      </w:r>
      <w:r>
        <w:rPr>
          <w:rFonts w:hint="eastAsia" w:ascii="仿宋_GB2312" w:eastAsia="仿宋_GB2312" w:cs="Times New Roman"/>
          <w:b w:val="0"/>
          <w:bCs w:val="0"/>
          <w:kern w:val="2"/>
          <w:sz w:val="28"/>
          <w:szCs w:val="28"/>
          <w:highlight w:val="none"/>
          <w:lang w:val="en-US" w:eastAsia="zh-CN" w:bidi="ar-SA"/>
        </w:rPr>
        <w:t>四</w:t>
      </w:r>
      <w:r>
        <w:rPr>
          <w:rFonts w:hint="default" w:ascii="仿宋_GB2312" w:hAnsi="Times New Roman" w:eastAsia="仿宋_GB2312" w:cs="Times New Roman"/>
          <w:b w:val="0"/>
          <w:bCs w:val="0"/>
          <w:kern w:val="2"/>
          <w:sz w:val="28"/>
          <w:szCs w:val="28"/>
          <w:highlight w:val="none"/>
          <w:lang w:val="en-US" w:eastAsia="zh-CN" w:bidi="ar-SA"/>
        </w:rPr>
        <w:t>个二级指标</w:t>
      </w:r>
      <w:r>
        <w:rPr>
          <w:rFonts w:hint="eastAsia" w:ascii="仿宋_GB2312" w:eastAsia="仿宋_GB2312" w:cs="Times New Roman"/>
          <w:b w:val="0"/>
          <w:bCs w:val="0"/>
          <w:kern w:val="2"/>
          <w:sz w:val="28"/>
          <w:szCs w:val="28"/>
          <w:highlight w:val="none"/>
          <w:lang w:val="en-US" w:eastAsia="zh-CN" w:bidi="ar-SA"/>
        </w:rPr>
        <w:t>十一</w:t>
      </w:r>
      <w:r>
        <w:rPr>
          <w:rFonts w:hint="default" w:ascii="仿宋_GB2312" w:hAnsi="Times New Roman" w:eastAsia="仿宋_GB2312" w:cs="Times New Roman"/>
          <w:b w:val="0"/>
          <w:bCs w:val="0"/>
          <w:kern w:val="2"/>
          <w:sz w:val="28"/>
          <w:szCs w:val="28"/>
          <w:highlight w:val="none"/>
          <w:lang w:val="en-US" w:eastAsia="zh-CN" w:bidi="ar-SA"/>
        </w:rPr>
        <w:t>个三级指标。</w:t>
      </w:r>
      <w:r>
        <w:rPr>
          <w:rFonts w:hint="eastAsia" w:ascii="仿宋_GB2312" w:hAnsi="Times New Roman" w:eastAsia="仿宋_GB2312" w:cs="Times New Roman"/>
          <w:b w:val="0"/>
          <w:bCs w:val="0"/>
          <w:kern w:val="2"/>
          <w:sz w:val="28"/>
          <w:szCs w:val="28"/>
          <w:highlight w:val="none"/>
          <w:lang w:val="en-US" w:eastAsia="zh-CN" w:bidi="ar-SA"/>
        </w:rPr>
        <w:t>管理效率</w:t>
      </w:r>
      <w:r>
        <w:rPr>
          <w:rFonts w:hint="default" w:ascii="仿宋_GB2312" w:hAnsi="Times New Roman" w:eastAsia="仿宋_GB2312" w:cs="Times New Roman"/>
          <w:b w:val="0"/>
          <w:bCs w:val="0"/>
          <w:kern w:val="2"/>
          <w:sz w:val="28"/>
          <w:szCs w:val="28"/>
          <w:highlight w:val="none"/>
          <w:lang w:val="en-US" w:eastAsia="zh-CN" w:bidi="ar-SA"/>
        </w:rPr>
        <w:t>分值</w:t>
      </w:r>
      <w:r>
        <w:rPr>
          <w:rFonts w:hint="eastAsia" w:ascii="仿宋_GB2312" w:eastAsia="仿宋_GB2312" w:cs="Times New Roman"/>
          <w:b w:val="0"/>
          <w:bCs w:val="0"/>
          <w:kern w:val="2"/>
          <w:sz w:val="28"/>
          <w:szCs w:val="28"/>
          <w:highlight w:val="none"/>
          <w:lang w:val="en-US" w:eastAsia="zh-CN" w:bidi="ar-SA"/>
        </w:rPr>
        <w:t>50</w:t>
      </w:r>
      <w:r>
        <w:rPr>
          <w:rFonts w:hint="default" w:ascii="仿宋_GB2312" w:hAnsi="Times New Roman" w:eastAsia="仿宋_GB2312" w:cs="Times New Roman"/>
          <w:b w:val="0"/>
          <w:bCs w:val="0"/>
          <w:kern w:val="2"/>
          <w:sz w:val="28"/>
          <w:szCs w:val="28"/>
          <w:highlight w:val="none"/>
          <w:lang w:val="en-US" w:eastAsia="zh-CN" w:bidi="ar-SA"/>
        </w:rPr>
        <w:t>分，实际得分</w:t>
      </w:r>
      <w:r>
        <w:rPr>
          <w:rFonts w:hint="eastAsia" w:ascii="仿宋_GB2312" w:eastAsia="仿宋_GB2312" w:cs="Times New Roman"/>
          <w:b w:val="0"/>
          <w:bCs w:val="0"/>
          <w:kern w:val="2"/>
          <w:sz w:val="28"/>
          <w:szCs w:val="28"/>
          <w:highlight w:val="none"/>
          <w:lang w:val="en-US" w:eastAsia="zh-CN" w:bidi="ar-SA"/>
        </w:rPr>
        <w:t>43.24</w:t>
      </w:r>
      <w:r>
        <w:rPr>
          <w:rFonts w:hint="default" w:ascii="仿宋_GB2312" w:hAnsi="Times New Roman" w:eastAsia="仿宋_GB2312" w:cs="Times New Roman"/>
          <w:b w:val="0"/>
          <w:bCs w:val="0"/>
          <w:kern w:val="2"/>
          <w:sz w:val="28"/>
          <w:szCs w:val="28"/>
          <w:highlight w:val="none"/>
          <w:lang w:val="en-US" w:eastAsia="zh-CN" w:bidi="ar-SA"/>
        </w:rPr>
        <w:t>分，得分率</w:t>
      </w:r>
      <w:r>
        <w:rPr>
          <w:rFonts w:hint="eastAsia" w:ascii="仿宋_GB2312" w:eastAsia="仿宋_GB2312" w:cs="Times New Roman"/>
          <w:b w:val="0"/>
          <w:bCs w:val="0"/>
          <w:kern w:val="2"/>
          <w:sz w:val="28"/>
          <w:szCs w:val="28"/>
          <w:highlight w:val="none"/>
          <w:lang w:val="en-US" w:eastAsia="zh-CN" w:bidi="ar-SA"/>
        </w:rPr>
        <w:t>86.48</w:t>
      </w:r>
      <w:r>
        <w:rPr>
          <w:rFonts w:hint="default" w:ascii="仿宋_GB2312" w:hAnsi="Times New Roman" w:eastAsia="仿宋_GB2312" w:cs="Times New Roman"/>
          <w:b w:val="0"/>
          <w:bCs w:val="0"/>
          <w:kern w:val="2"/>
          <w:sz w:val="28"/>
          <w:szCs w:val="28"/>
          <w:highlight w:val="none"/>
          <w:lang w:val="en-US" w:eastAsia="zh-CN" w:bidi="ar-SA"/>
        </w:rPr>
        <w:t>%。各分项指标得分情况如下表</w:t>
      </w:r>
      <w:r>
        <w:rPr>
          <w:rFonts w:hint="eastAsia" w:ascii="仿宋_GB2312" w:eastAsia="仿宋_GB2312" w:cs="Times New Roman"/>
          <w:b w:val="0"/>
          <w:bCs w:val="0"/>
          <w:kern w:val="2"/>
          <w:sz w:val="28"/>
          <w:szCs w:val="28"/>
          <w:highlight w:val="none"/>
          <w:lang w:val="en-US" w:eastAsia="zh-CN" w:bidi="ar-SA"/>
        </w:rPr>
        <w:t>4</w:t>
      </w:r>
      <w:r>
        <w:rPr>
          <w:rFonts w:hint="default" w:ascii="仿宋_GB2312" w:hAnsi="Times New Roman" w:eastAsia="仿宋_GB2312" w:cs="Times New Roman"/>
          <w:b w:val="0"/>
          <w:bCs w:val="0"/>
          <w:kern w:val="2"/>
          <w:sz w:val="28"/>
          <w:szCs w:val="28"/>
          <w:highlight w:val="none"/>
          <w:lang w:val="en-US" w:eastAsia="zh-CN" w:bidi="ar-SA"/>
        </w:rPr>
        <w:t>-</w:t>
      </w:r>
      <w:r>
        <w:rPr>
          <w:rFonts w:hint="eastAsia" w:ascii="仿宋_GB2312" w:eastAsia="仿宋_GB2312" w:cs="Times New Roman"/>
          <w:b w:val="0"/>
          <w:bCs w:val="0"/>
          <w:kern w:val="2"/>
          <w:sz w:val="28"/>
          <w:szCs w:val="28"/>
          <w:highlight w:val="none"/>
          <w:lang w:val="en-US" w:eastAsia="zh-CN" w:bidi="ar-SA"/>
        </w:rPr>
        <w:t>2</w:t>
      </w:r>
      <w:r>
        <w:rPr>
          <w:rFonts w:hint="default" w:ascii="仿宋_GB2312" w:hAnsi="Times New Roman" w:eastAsia="仿宋_GB2312" w:cs="Times New Roman"/>
          <w:b w:val="0"/>
          <w:bCs w:val="0"/>
          <w:kern w:val="2"/>
          <w:sz w:val="28"/>
          <w:szCs w:val="28"/>
          <w:highlight w:val="none"/>
          <w:lang w:val="en-US" w:eastAsia="zh-CN" w:bidi="ar-SA"/>
        </w:rPr>
        <w:t>所示：</w:t>
      </w:r>
    </w:p>
    <w:p>
      <w:pPr>
        <w:pStyle w:val="2"/>
        <w:jc w:val="center"/>
        <w:rPr>
          <w:rFonts w:hint="default"/>
          <w:highlight w:val="none"/>
          <w:lang w:val="en-US" w:eastAsia="zh-CN"/>
        </w:rPr>
      </w:pPr>
      <w:r>
        <w:rPr>
          <w:rFonts w:hint="eastAsia" w:ascii="仿宋" w:hAnsi="仿宋" w:eastAsia="仿宋" w:cs="仿宋"/>
          <w:sz w:val="28"/>
          <w:szCs w:val="28"/>
          <w:highlight w:val="none"/>
          <w:lang w:val="en-US" w:eastAsia="zh-CN"/>
        </w:rPr>
        <w:t>表4-2 管理效率得分情况表</w:t>
      </w:r>
    </w:p>
    <w:tbl>
      <w:tblPr>
        <w:tblStyle w:val="7"/>
        <w:tblW w:w="4998" w:type="pct"/>
        <w:jc w:val="center"/>
        <w:shd w:val="clear" w:color="auto" w:fill="auto"/>
        <w:tblLayout w:type="autofit"/>
        <w:tblCellMar>
          <w:top w:w="0" w:type="dxa"/>
          <w:left w:w="0" w:type="dxa"/>
          <w:bottom w:w="0" w:type="dxa"/>
          <w:right w:w="0" w:type="dxa"/>
        </w:tblCellMar>
      </w:tblPr>
      <w:tblGrid>
        <w:gridCol w:w="1182"/>
        <w:gridCol w:w="3574"/>
        <w:gridCol w:w="1187"/>
        <w:gridCol w:w="1189"/>
        <w:gridCol w:w="1189"/>
      </w:tblGrid>
      <w:tr>
        <w:tblPrEx>
          <w:shd w:val="clear" w:color="auto" w:fill="auto"/>
          <w:tblCellMar>
            <w:top w:w="0" w:type="dxa"/>
            <w:left w:w="0" w:type="dxa"/>
            <w:bottom w:w="0" w:type="dxa"/>
            <w:right w:w="0" w:type="dxa"/>
          </w:tblCellMar>
        </w:tblPrEx>
        <w:trPr>
          <w:trHeight w:val="363" w:hRule="atLeast"/>
          <w:tblHeader/>
          <w:jc w:val="center"/>
        </w:trPr>
        <w:tc>
          <w:tcPr>
            <w:tcW w:w="71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二级指标</w:t>
            </w:r>
          </w:p>
        </w:tc>
        <w:tc>
          <w:tcPr>
            <w:tcW w:w="214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三级指标</w:t>
            </w:r>
          </w:p>
        </w:tc>
        <w:tc>
          <w:tcPr>
            <w:tcW w:w="71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权重</w:t>
            </w:r>
          </w:p>
        </w:tc>
        <w:tc>
          <w:tcPr>
            <w:tcW w:w="71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 xml:space="preserve"> 得分 </w:t>
            </w:r>
          </w:p>
        </w:tc>
        <w:tc>
          <w:tcPr>
            <w:tcW w:w="71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得分率</w:t>
            </w:r>
          </w:p>
        </w:tc>
      </w:tr>
      <w:tr>
        <w:tblPrEx>
          <w:tblCellMar>
            <w:top w:w="0" w:type="dxa"/>
            <w:left w:w="0" w:type="dxa"/>
            <w:bottom w:w="0" w:type="dxa"/>
            <w:right w:w="0" w:type="dxa"/>
          </w:tblCellMar>
        </w:tblPrEx>
        <w:trPr>
          <w:trHeight w:val="360" w:hRule="atLeast"/>
          <w:jc w:val="center"/>
        </w:trPr>
        <w:tc>
          <w:tcPr>
            <w:tcW w:w="710" w:type="pct"/>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highlight w:val="none"/>
                <w:u w:val="none"/>
              </w:rPr>
            </w:pPr>
            <w:r>
              <w:rPr>
                <w:rFonts w:hint="eastAsia" w:ascii="仿宋" w:hAnsi="仿宋" w:eastAsia="仿宋" w:cs="仿宋"/>
                <w:i w:val="0"/>
                <w:color w:val="000000"/>
                <w:kern w:val="0"/>
                <w:sz w:val="20"/>
                <w:szCs w:val="20"/>
                <w:highlight w:val="none"/>
                <w:u w:val="none"/>
                <w:lang w:val="en-US" w:eastAsia="zh-CN" w:bidi="ar"/>
              </w:rPr>
              <w:t>B1预算管理</w:t>
            </w: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sz w:val="20"/>
                <w:szCs w:val="20"/>
                <w:highlight w:val="none"/>
                <w:u w:val="none"/>
                <w:lang w:val="en-US"/>
              </w:rPr>
            </w:pPr>
            <w:r>
              <w:rPr>
                <w:rFonts w:hint="eastAsia" w:ascii="仿宋" w:hAnsi="仿宋" w:eastAsia="仿宋" w:cs="仿宋"/>
                <w:i w:val="0"/>
                <w:color w:val="000000"/>
                <w:kern w:val="0"/>
                <w:sz w:val="20"/>
                <w:szCs w:val="20"/>
                <w:highlight w:val="none"/>
                <w:u w:val="none"/>
                <w:lang w:val="en-US" w:eastAsia="zh-CN" w:bidi="ar"/>
              </w:rPr>
              <w:t>B1-1预算编制管理</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8</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8</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360" w:hRule="atLeast"/>
          <w:jc w:val="center"/>
        </w:trPr>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sz w:val="20"/>
                <w:szCs w:val="20"/>
                <w:highlight w:val="none"/>
                <w:u w:val="none"/>
                <w:lang w:val="en-US"/>
              </w:rPr>
            </w:pPr>
            <w:r>
              <w:rPr>
                <w:rFonts w:hint="eastAsia" w:ascii="仿宋" w:hAnsi="仿宋" w:eastAsia="仿宋" w:cs="仿宋"/>
                <w:i w:val="0"/>
                <w:color w:val="000000"/>
                <w:kern w:val="0"/>
                <w:sz w:val="20"/>
                <w:szCs w:val="20"/>
                <w:highlight w:val="none"/>
                <w:u w:val="none"/>
                <w:lang w:val="en-US" w:eastAsia="zh-CN" w:bidi="ar"/>
              </w:rPr>
              <w:t>B1-2预算执行管理</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13</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12</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92.31%</w:t>
            </w:r>
          </w:p>
        </w:tc>
      </w:tr>
      <w:tr>
        <w:tblPrEx>
          <w:tblCellMar>
            <w:top w:w="0" w:type="dxa"/>
            <w:left w:w="0" w:type="dxa"/>
            <w:bottom w:w="0" w:type="dxa"/>
            <w:right w:w="0" w:type="dxa"/>
          </w:tblCellMar>
        </w:tblPrEx>
        <w:trPr>
          <w:trHeight w:val="360" w:hRule="atLeast"/>
          <w:jc w:val="center"/>
        </w:trPr>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sz w:val="20"/>
                <w:szCs w:val="20"/>
                <w:highlight w:val="none"/>
                <w:u w:val="none"/>
                <w:lang w:val="en-US"/>
              </w:rPr>
            </w:pPr>
            <w:r>
              <w:rPr>
                <w:rFonts w:hint="eastAsia" w:ascii="仿宋" w:hAnsi="仿宋" w:eastAsia="仿宋" w:cs="仿宋"/>
                <w:i w:val="0"/>
                <w:color w:val="000000"/>
                <w:kern w:val="0"/>
                <w:sz w:val="20"/>
                <w:szCs w:val="20"/>
                <w:highlight w:val="none"/>
                <w:u w:val="none"/>
                <w:lang w:val="en-US" w:eastAsia="zh-CN" w:bidi="ar"/>
              </w:rPr>
              <w:t>B1-3预算监督管理</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3</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3</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宋体" w:hAnsi="宋体" w:eastAsia="宋体" w:cs="宋体"/>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360" w:hRule="atLeast"/>
          <w:jc w:val="center"/>
        </w:trPr>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kern w:val="2"/>
                <w:sz w:val="20"/>
                <w:szCs w:val="20"/>
                <w:highlight w:val="none"/>
                <w:u w:val="none"/>
                <w:lang w:val="en-US" w:eastAsia="zh-CN" w:bidi="ar-SA"/>
              </w:rPr>
            </w:pPr>
            <w:r>
              <w:rPr>
                <w:rFonts w:hint="eastAsia" w:ascii="仿宋" w:hAnsi="仿宋" w:eastAsia="仿宋" w:cs="仿宋"/>
                <w:i w:val="0"/>
                <w:color w:val="000000"/>
                <w:kern w:val="0"/>
                <w:sz w:val="20"/>
                <w:szCs w:val="20"/>
                <w:highlight w:val="none"/>
                <w:u w:val="none"/>
                <w:lang w:val="en-US" w:eastAsia="zh-CN" w:bidi="ar"/>
              </w:rPr>
              <w:t>B1-4预算绩效管理</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4</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4</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360" w:hRule="atLeast"/>
          <w:jc w:val="center"/>
        </w:trPr>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highlight w:val="none"/>
                <w:u w:val="none"/>
              </w:rPr>
            </w:pPr>
            <w:r>
              <w:rPr>
                <w:rFonts w:hint="eastAsia" w:ascii="仿宋" w:hAnsi="仿宋" w:eastAsia="仿宋" w:cs="仿宋"/>
                <w:i w:val="0"/>
                <w:color w:val="000000"/>
                <w:kern w:val="0"/>
                <w:sz w:val="20"/>
                <w:szCs w:val="20"/>
                <w:highlight w:val="none"/>
                <w:u w:val="none"/>
                <w:lang w:val="en-US" w:eastAsia="zh-CN" w:bidi="ar"/>
              </w:rPr>
              <w:t>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28</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27</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96.43%</w:t>
            </w:r>
          </w:p>
        </w:tc>
      </w:tr>
      <w:tr>
        <w:tblPrEx>
          <w:tblCellMar>
            <w:top w:w="0" w:type="dxa"/>
            <w:left w:w="0" w:type="dxa"/>
            <w:bottom w:w="0" w:type="dxa"/>
            <w:right w:w="0" w:type="dxa"/>
          </w:tblCellMar>
        </w:tblPrEx>
        <w:trPr>
          <w:trHeight w:val="360" w:hRule="atLeast"/>
          <w:jc w:val="center"/>
        </w:trPr>
        <w:tc>
          <w:tcPr>
            <w:tcW w:w="710" w:type="pct"/>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highlight w:val="none"/>
                <w:u w:val="none"/>
              </w:rPr>
            </w:pPr>
            <w:r>
              <w:rPr>
                <w:rFonts w:hint="eastAsia" w:ascii="仿宋" w:hAnsi="仿宋" w:eastAsia="仿宋" w:cs="仿宋"/>
                <w:i w:val="0"/>
                <w:color w:val="000000"/>
                <w:kern w:val="0"/>
                <w:sz w:val="20"/>
                <w:szCs w:val="20"/>
                <w:highlight w:val="none"/>
                <w:u w:val="none"/>
                <w:lang w:val="en-US" w:eastAsia="zh-CN" w:bidi="ar"/>
              </w:rPr>
              <w:t>B2财务管理</w:t>
            </w: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sz w:val="20"/>
                <w:szCs w:val="20"/>
                <w:highlight w:val="none"/>
                <w:u w:val="none"/>
                <w:lang w:val="en-US"/>
              </w:rPr>
            </w:pPr>
            <w:r>
              <w:rPr>
                <w:rFonts w:hint="eastAsia" w:ascii="仿宋" w:hAnsi="仿宋" w:eastAsia="仿宋" w:cs="仿宋"/>
                <w:i w:val="0"/>
                <w:color w:val="000000"/>
                <w:kern w:val="0"/>
                <w:sz w:val="20"/>
                <w:szCs w:val="20"/>
                <w:highlight w:val="none"/>
                <w:u w:val="none"/>
                <w:lang w:val="en-US" w:eastAsia="zh-CN" w:bidi="ar"/>
              </w:rPr>
              <w:t>B2-1财务管理规范性</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4</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4</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360" w:hRule="atLeast"/>
          <w:jc w:val="center"/>
        </w:trPr>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sz w:val="20"/>
                <w:szCs w:val="20"/>
                <w:highlight w:val="none"/>
                <w:u w:val="none"/>
                <w:lang w:val="en-US"/>
              </w:rPr>
            </w:pPr>
            <w:r>
              <w:rPr>
                <w:rFonts w:hint="eastAsia" w:ascii="仿宋" w:hAnsi="仿宋" w:eastAsia="仿宋" w:cs="仿宋"/>
                <w:i w:val="0"/>
                <w:color w:val="000000"/>
                <w:kern w:val="0"/>
                <w:sz w:val="20"/>
                <w:szCs w:val="20"/>
                <w:highlight w:val="none"/>
                <w:u w:val="none"/>
                <w:lang w:val="en-US" w:eastAsia="zh-CN" w:bidi="ar"/>
              </w:rPr>
              <w:t>B2-2财务管理有效性</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4</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2</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50%</w:t>
            </w:r>
          </w:p>
        </w:tc>
      </w:tr>
      <w:tr>
        <w:tblPrEx>
          <w:tblCellMar>
            <w:top w:w="0" w:type="dxa"/>
            <w:left w:w="0" w:type="dxa"/>
            <w:bottom w:w="0" w:type="dxa"/>
            <w:right w:w="0" w:type="dxa"/>
          </w:tblCellMar>
        </w:tblPrEx>
        <w:trPr>
          <w:trHeight w:val="360" w:hRule="atLeast"/>
          <w:jc w:val="center"/>
        </w:trPr>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highlight w:val="none"/>
                <w:u w:val="none"/>
              </w:rPr>
            </w:pPr>
            <w:r>
              <w:rPr>
                <w:rFonts w:hint="eastAsia" w:ascii="仿宋" w:hAnsi="仿宋" w:eastAsia="仿宋" w:cs="仿宋"/>
                <w:i w:val="0"/>
                <w:color w:val="000000"/>
                <w:kern w:val="0"/>
                <w:sz w:val="20"/>
                <w:szCs w:val="20"/>
                <w:highlight w:val="none"/>
                <w:u w:val="none"/>
                <w:lang w:val="en-US" w:eastAsia="zh-CN" w:bidi="ar"/>
              </w:rPr>
              <w:t>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8</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6</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360" w:hRule="atLeast"/>
          <w:jc w:val="center"/>
        </w:trPr>
        <w:tc>
          <w:tcPr>
            <w:tcW w:w="710" w:type="pct"/>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highlight w:val="none"/>
                <w:u w:val="none"/>
              </w:rPr>
            </w:pPr>
            <w:r>
              <w:rPr>
                <w:rFonts w:hint="eastAsia" w:ascii="仿宋" w:hAnsi="仿宋" w:eastAsia="仿宋" w:cs="仿宋"/>
                <w:i w:val="0"/>
                <w:color w:val="000000"/>
                <w:kern w:val="0"/>
                <w:sz w:val="20"/>
                <w:szCs w:val="20"/>
                <w:highlight w:val="none"/>
                <w:u w:val="none"/>
                <w:lang w:val="en-US" w:eastAsia="zh-CN" w:bidi="ar"/>
              </w:rPr>
              <w:t>B3资产管理</w:t>
            </w: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sz w:val="20"/>
                <w:szCs w:val="20"/>
                <w:highlight w:val="none"/>
                <w:u w:val="none"/>
                <w:lang w:val="en-US"/>
              </w:rPr>
            </w:pPr>
            <w:r>
              <w:rPr>
                <w:rFonts w:hint="eastAsia" w:ascii="仿宋" w:hAnsi="仿宋" w:eastAsia="仿宋" w:cs="仿宋"/>
                <w:i w:val="0"/>
                <w:color w:val="000000"/>
                <w:kern w:val="0"/>
                <w:sz w:val="20"/>
                <w:szCs w:val="20"/>
                <w:highlight w:val="none"/>
                <w:u w:val="none"/>
                <w:lang w:val="en-US" w:eastAsia="zh-CN" w:bidi="ar"/>
              </w:rPr>
              <w:t>B3-1资产管理规范性</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7</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5</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71.43%</w:t>
            </w:r>
          </w:p>
        </w:tc>
      </w:tr>
      <w:tr>
        <w:tblPrEx>
          <w:tblCellMar>
            <w:top w:w="0" w:type="dxa"/>
            <w:left w:w="0" w:type="dxa"/>
            <w:bottom w:w="0" w:type="dxa"/>
            <w:right w:w="0" w:type="dxa"/>
          </w:tblCellMar>
        </w:tblPrEx>
        <w:trPr>
          <w:trHeight w:val="360" w:hRule="atLeast"/>
          <w:jc w:val="center"/>
        </w:trPr>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sz w:val="20"/>
                <w:szCs w:val="20"/>
                <w:highlight w:val="none"/>
                <w:u w:val="none"/>
                <w:lang w:val="en-US"/>
              </w:rPr>
            </w:pPr>
            <w:r>
              <w:rPr>
                <w:rFonts w:hint="eastAsia" w:ascii="仿宋" w:hAnsi="仿宋" w:eastAsia="仿宋" w:cs="仿宋"/>
                <w:i w:val="0"/>
                <w:color w:val="000000"/>
                <w:kern w:val="0"/>
                <w:sz w:val="20"/>
                <w:szCs w:val="20"/>
                <w:highlight w:val="none"/>
                <w:u w:val="none"/>
                <w:lang w:val="en-US" w:eastAsia="zh-CN" w:bidi="ar"/>
              </w:rPr>
              <w:t>B3-2固定资产利用率</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3</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2.74</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91.33%</w:t>
            </w:r>
          </w:p>
        </w:tc>
      </w:tr>
      <w:tr>
        <w:tblPrEx>
          <w:tblCellMar>
            <w:top w:w="0" w:type="dxa"/>
            <w:left w:w="0" w:type="dxa"/>
            <w:bottom w:w="0" w:type="dxa"/>
            <w:right w:w="0" w:type="dxa"/>
          </w:tblCellMar>
        </w:tblPrEx>
        <w:trPr>
          <w:trHeight w:val="360" w:hRule="atLeast"/>
          <w:jc w:val="center"/>
        </w:trPr>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highlight w:val="none"/>
                <w:u w:val="none"/>
              </w:rPr>
            </w:pPr>
            <w:r>
              <w:rPr>
                <w:rFonts w:hint="eastAsia" w:ascii="仿宋" w:hAnsi="仿宋" w:eastAsia="仿宋" w:cs="仿宋"/>
                <w:i w:val="0"/>
                <w:color w:val="000000"/>
                <w:kern w:val="0"/>
                <w:sz w:val="20"/>
                <w:szCs w:val="20"/>
                <w:highlight w:val="none"/>
                <w:u w:val="none"/>
                <w:lang w:val="en-US" w:eastAsia="zh-CN" w:bidi="ar"/>
              </w:rPr>
              <w:t>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10</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7.74</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77.4%</w:t>
            </w:r>
          </w:p>
        </w:tc>
      </w:tr>
      <w:tr>
        <w:tblPrEx>
          <w:tblCellMar>
            <w:top w:w="0" w:type="dxa"/>
            <w:left w:w="0" w:type="dxa"/>
            <w:bottom w:w="0" w:type="dxa"/>
            <w:right w:w="0" w:type="dxa"/>
          </w:tblCellMar>
        </w:tblPrEx>
        <w:trPr>
          <w:trHeight w:val="360" w:hRule="atLeast"/>
          <w:jc w:val="center"/>
        </w:trPr>
        <w:tc>
          <w:tcPr>
            <w:tcW w:w="710" w:type="pct"/>
            <w:vMerge w:val="restart"/>
            <w:tcBorders>
              <w:top w:val="single" w:color="000000" w:sz="4" w:space="0"/>
              <w:left w:val="single" w:color="000000" w:sz="4" w:space="0"/>
              <w:right w:val="single" w:color="000000" w:sz="4" w:space="0"/>
            </w:tcBorders>
            <w:shd w:val="clear" w:color="auto" w:fill="auto"/>
            <w:tcMar>
              <w:top w:w="9" w:type="dxa"/>
              <w:left w:w="9" w:type="dxa"/>
              <w:right w:w="9" w:type="dxa"/>
            </w:tcMar>
            <w:vAlign w:val="center"/>
          </w:tcPr>
          <w:p>
            <w:pPr>
              <w:jc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B4其他管理</w:t>
            </w: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0"/>
                <w:szCs w:val="20"/>
                <w:highlight w:val="none"/>
                <w:u w:val="none"/>
                <w:lang w:val="en-US" w:eastAsia="zh-CN" w:bidi="ar"/>
              </w:rPr>
            </w:pPr>
            <w:r>
              <w:rPr>
                <w:rFonts w:hint="eastAsia" w:ascii="仿宋" w:hAnsi="仿宋" w:eastAsia="仿宋" w:cs="仿宋"/>
                <w:i w:val="0"/>
                <w:color w:val="000000"/>
                <w:kern w:val="0"/>
                <w:sz w:val="20"/>
                <w:szCs w:val="20"/>
                <w:highlight w:val="none"/>
                <w:u w:val="none"/>
                <w:lang w:val="en-US" w:eastAsia="zh-CN" w:bidi="ar"/>
              </w:rPr>
              <w:t>B4-1政府采购管理</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2</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2</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360" w:hRule="atLeast"/>
          <w:jc w:val="center"/>
        </w:trPr>
        <w:tc>
          <w:tcPr>
            <w:tcW w:w="710" w:type="pct"/>
            <w:vMerge w:val="continue"/>
            <w:tcBorders>
              <w:left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0"/>
                <w:szCs w:val="20"/>
                <w:highlight w:val="none"/>
                <w:u w:val="none"/>
                <w:lang w:val="en-US" w:eastAsia="zh-CN" w:bidi="ar"/>
              </w:rPr>
            </w:pPr>
            <w:r>
              <w:rPr>
                <w:rFonts w:hint="eastAsia" w:ascii="仿宋" w:hAnsi="仿宋" w:eastAsia="仿宋" w:cs="仿宋"/>
                <w:i w:val="0"/>
                <w:color w:val="000000"/>
                <w:kern w:val="0"/>
                <w:sz w:val="20"/>
                <w:szCs w:val="20"/>
                <w:highlight w:val="none"/>
                <w:u w:val="none"/>
                <w:lang w:val="en-US" w:eastAsia="zh-CN" w:bidi="ar"/>
              </w:rPr>
              <w:t>B4-2预算信息公开</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0.5</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50%</w:t>
            </w:r>
          </w:p>
        </w:tc>
      </w:tr>
      <w:tr>
        <w:tblPrEx>
          <w:tblCellMar>
            <w:top w:w="0" w:type="dxa"/>
            <w:left w:w="0" w:type="dxa"/>
            <w:bottom w:w="0" w:type="dxa"/>
            <w:right w:w="0" w:type="dxa"/>
          </w:tblCellMar>
        </w:tblPrEx>
        <w:trPr>
          <w:trHeight w:val="360" w:hRule="atLeast"/>
          <w:jc w:val="center"/>
        </w:trPr>
        <w:tc>
          <w:tcPr>
            <w:tcW w:w="710" w:type="pct"/>
            <w:vMerge w:val="continue"/>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0"/>
                <w:szCs w:val="20"/>
                <w:highlight w:val="none"/>
                <w:u w:val="none"/>
                <w:lang w:val="en-US" w:eastAsia="zh-CN" w:bidi="ar"/>
              </w:rPr>
            </w:pPr>
            <w:r>
              <w:rPr>
                <w:rFonts w:hint="eastAsia" w:ascii="仿宋" w:hAnsi="仿宋" w:eastAsia="仿宋" w:cs="仿宋"/>
                <w:i w:val="0"/>
                <w:color w:val="000000"/>
                <w:kern w:val="0"/>
                <w:sz w:val="20"/>
                <w:szCs w:val="20"/>
                <w:highlight w:val="none"/>
                <w:u w:val="none"/>
                <w:lang w:val="en-US" w:eastAsia="zh-CN" w:bidi="ar"/>
              </w:rPr>
              <w:t>B4-3基础信息晚上</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0</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0%</w:t>
            </w:r>
          </w:p>
        </w:tc>
      </w:tr>
      <w:tr>
        <w:tblPrEx>
          <w:tblCellMar>
            <w:top w:w="0" w:type="dxa"/>
            <w:left w:w="0" w:type="dxa"/>
            <w:bottom w:w="0" w:type="dxa"/>
            <w:right w:w="0" w:type="dxa"/>
          </w:tblCellMar>
        </w:tblPrEx>
        <w:trPr>
          <w:trHeight w:val="360" w:hRule="atLeast"/>
          <w:jc w:val="center"/>
        </w:trPr>
        <w:tc>
          <w:tcPr>
            <w:tcW w:w="710" w:type="pct"/>
            <w:vMerge w:val="continue"/>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highlight w:val="none"/>
                <w:u w:val="none"/>
                <w:lang w:val="en-US" w:eastAsia="zh-CN" w:bidi="ar"/>
              </w:rPr>
            </w:pPr>
            <w:r>
              <w:rPr>
                <w:rFonts w:hint="eastAsia" w:ascii="仿宋" w:hAnsi="仿宋" w:eastAsia="仿宋" w:cs="仿宋"/>
                <w:i w:val="0"/>
                <w:color w:val="000000"/>
                <w:kern w:val="0"/>
                <w:sz w:val="20"/>
                <w:szCs w:val="20"/>
                <w:highlight w:val="none"/>
                <w:u w:val="none"/>
                <w:lang w:val="en-US" w:eastAsia="zh-CN" w:bidi="ar"/>
              </w:rPr>
              <w:t>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4</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2.5</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62.5%</w:t>
            </w:r>
          </w:p>
        </w:tc>
      </w:tr>
      <w:tr>
        <w:tblPrEx>
          <w:tblCellMar>
            <w:top w:w="0" w:type="dxa"/>
            <w:left w:w="0" w:type="dxa"/>
            <w:bottom w:w="0" w:type="dxa"/>
            <w:right w:w="0" w:type="dxa"/>
          </w:tblCellMar>
        </w:tblPrEx>
        <w:trPr>
          <w:trHeight w:val="360" w:hRule="atLeast"/>
          <w:jc w:val="center"/>
        </w:trPr>
        <w:tc>
          <w:tcPr>
            <w:tcW w:w="2857"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highlight w:val="none"/>
                <w:u w:val="none"/>
              </w:rPr>
            </w:pPr>
            <w:r>
              <w:rPr>
                <w:rFonts w:hint="eastAsia" w:ascii="仿宋" w:hAnsi="仿宋" w:eastAsia="仿宋" w:cs="仿宋"/>
                <w:i w:val="0"/>
                <w:color w:val="000000"/>
                <w:kern w:val="0"/>
                <w:sz w:val="20"/>
                <w:szCs w:val="20"/>
                <w:highlight w:val="none"/>
                <w:u w:val="none"/>
                <w:lang w:val="en-US" w:eastAsia="zh-CN" w:bidi="ar"/>
              </w:rPr>
              <w:t>合计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50</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43.24</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86.48%</w:t>
            </w:r>
          </w:p>
        </w:tc>
      </w:tr>
    </w:tbl>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1.B1预算管理，权重28分，得分27分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ascii="仿宋_GB2312" w:hAnsi="Times New Roman" w:eastAsia="仿宋_GB2312"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（1）</w:t>
      </w:r>
      <w:r>
        <w:rPr>
          <w:rFonts w:hint="default" w:ascii="仿宋_GB2312" w:hAnsi="Times New Roman" w:eastAsia="仿宋_GB2312" w:cs="Times New Roman"/>
          <w:b/>
          <w:bCs/>
          <w:kern w:val="2"/>
          <w:sz w:val="28"/>
          <w:szCs w:val="28"/>
          <w:highlight w:val="none"/>
          <w:lang w:val="en-US" w:eastAsia="zh-CN" w:bidi="ar-SA"/>
        </w:rPr>
        <w:t>B1-1预算</w:t>
      </w:r>
      <w:r>
        <w:rPr>
          <w:rFonts w:hint="eastAsia" w:cs="Times New Roman"/>
          <w:b/>
          <w:bCs/>
          <w:kern w:val="2"/>
          <w:sz w:val="28"/>
          <w:szCs w:val="28"/>
          <w:highlight w:val="none"/>
          <w:lang w:val="en-US" w:eastAsia="zh-CN" w:bidi="ar-SA"/>
        </w:rPr>
        <w:t>编制管理</w:t>
      </w:r>
    </w:p>
    <w:p>
      <w:pPr>
        <w:pStyle w:val="2"/>
        <w:ind w:firstLine="560"/>
        <w:rPr>
          <w:rFonts w:hint="eastAsia"/>
          <w:sz w:val="28"/>
          <w:szCs w:val="28"/>
          <w:highlight w:val="none"/>
          <w:lang w:val="en-US" w:eastAsia="zh-CN"/>
        </w:rPr>
      </w:pPr>
      <w:r>
        <w:rPr>
          <w:rFonts w:hint="eastAsia"/>
          <w:sz w:val="28"/>
          <w:szCs w:val="28"/>
          <w:highlight w:val="none"/>
          <w:lang w:val="en-US" w:eastAsia="zh-CN"/>
        </w:rPr>
        <w:t>①临猗县老干部局2020年编制的预算收入是1,977,490.00元，全部为一般公共预算，符合《预算法》“一般公共预算安排用于保障和改善社会民生，维持国家机构正常运转”。该指标权重2分，得分2分。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default"/>
          <w:sz w:val="28"/>
          <w:szCs w:val="28"/>
          <w:highlight w:val="none"/>
          <w:lang w:val="en-US" w:eastAsia="zh-CN"/>
        </w:rPr>
      </w:pPr>
      <w:r>
        <w:rPr>
          <w:rFonts w:hint="eastAsia"/>
          <w:sz w:val="28"/>
          <w:szCs w:val="28"/>
          <w:highlight w:val="none"/>
          <w:lang w:val="en-US" w:eastAsia="zh-CN"/>
        </w:rPr>
        <w:t>②通过查看财务账簿、凭证、支出文件等基础资料，对临猗县老干部局编制的预算收支范围进行核实，临猗县老干部局编制的预算收支范围及方向均有相应的法规依据。依据评分标准，编制的预算收支范围及方向均有相应的法规依据的得2分；该指标权重2分，得分2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③临猗县老干部局2020年预算支出是1,977,490.00元，2019年预算支出是1,703,914.00元。分析详见表4-2-1，较上年增减变动符合部门履职需要。该指标权重2分，得分2分。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center"/>
        <w:textAlignment w:val="auto"/>
        <w:rPr>
          <w:rFonts w:hint="default"/>
          <w:sz w:val="28"/>
          <w:szCs w:val="28"/>
          <w:highlight w:val="none"/>
          <w:lang w:val="en-US" w:eastAsia="zh-CN"/>
        </w:rPr>
      </w:pPr>
      <w:r>
        <w:rPr>
          <w:rFonts w:hint="eastAsia"/>
          <w:sz w:val="28"/>
          <w:szCs w:val="28"/>
          <w:highlight w:val="none"/>
          <w:lang w:val="en-US" w:eastAsia="zh-CN"/>
        </w:rPr>
        <w:t>表4-2-1  临猗县老干部局预算增减变动表</w:t>
      </w:r>
    </w:p>
    <w:tbl>
      <w:tblPr>
        <w:tblStyle w:val="8"/>
        <w:tblW w:w="9652" w:type="dxa"/>
        <w:tblInd w:w="-6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2168"/>
        <w:gridCol w:w="1997"/>
        <w:gridCol w:w="1132"/>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2032" w:type="dxa"/>
            <w:shd w:val="clear" w:color="auto" w:fill="BEBEBE" w:themeFill="background1" w:themeFillShade="BF"/>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项目</w:t>
            </w:r>
          </w:p>
        </w:tc>
        <w:tc>
          <w:tcPr>
            <w:tcW w:w="2168" w:type="dxa"/>
            <w:shd w:val="clear" w:color="auto" w:fill="BEBEBE" w:themeFill="background1" w:themeFillShade="BF"/>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2019年</w:t>
            </w:r>
          </w:p>
        </w:tc>
        <w:tc>
          <w:tcPr>
            <w:tcW w:w="1997" w:type="dxa"/>
            <w:shd w:val="clear" w:color="auto" w:fill="BEBEBE" w:themeFill="background1" w:themeFillShade="BF"/>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2020年</w:t>
            </w:r>
          </w:p>
        </w:tc>
        <w:tc>
          <w:tcPr>
            <w:tcW w:w="1132" w:type="dxa"/>
            <w:shd w:val="clear" w:color="auto" w:fill="BEBEBE" w:themeFill="background1" w:themeFillShade="BF"/>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变动幅度</w:t>
            </w:r>
          </w:p>
        </w:tc>
        <w:tc>
          <w:tcPr>
            <w:tcW w:w="2323" w:type="dxa"/>
            <w:shd w:val="clear" w:color="auto" w:fill="BEBEBE" w:themeFill="background1" w:themeFillShade="BF"/>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总预算</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1,703,914.00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1,977,490.00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16.06%</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基本支出</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965,914.00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1,139,490.00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17.91%</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工资福利支出</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874,110.00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1,006,568.00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15.15%</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工资津贴奖金</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676,410.00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789,995.00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16.79%</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人员新增1名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社保及公积金</w:t>
            </w:r>
          </w:p>
        </w:tc>
        <w:tc>
          <w:tcPr>
            <w:tcW w:w="2168"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 xml:space="preserve">197,700.00 </w:t>
            </w:r>
          </w:p>
        </w:tc>
        <w:tc>
          <w:tcPr>
            <w:tcW w:w="1997"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 xml:space="preserve">216,573.00 </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9.55%</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人员新增1名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商品服务支出</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80,870.00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109,136.00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34.95%</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办公费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8,960.00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10,000.00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11.61%</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18"/>
                <w:szCs w:val="18"/>
                <w:highlight w:val="none"/>
                <w:vertAlign w:val="baseline"/>
                <w:lang w:val="en-US" w:eastAsia="zh-CN"/>
              </w:rPr>
              <w:t>行政1960元，事业1840元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水费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1,000.00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1,000.00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电费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2,000.00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2,000.00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邮电费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3,000.00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3,000.00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取暖费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5,500.00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6,000.00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9.09%</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正常增长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会议费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2,000.00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3,000.00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50.00%</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正常增长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培训费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2,000.00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4,040.00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102.00%</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正常增长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工会经费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6,055.00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8,507.00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40.50%</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正常增长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福利费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6,055.00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7,089.00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17.08%</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正常增长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其他交通费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42,300.00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64,500.00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52.48%</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公务员车补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印刷费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2,000.00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-100.00%</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分至项目支出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对个人家庭补助</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10,934.00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11,786.00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7.79%</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正常增长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遗属补助</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8,864.00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9,344.00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5.42%</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正常增长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退休人员医疗费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720.00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792.00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10.00%</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正常增长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独生子女奖励</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1,350.00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1,650.00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22.22%</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正常增长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项目支出</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738,000.00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838,000.00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13.55%</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老干部活动经费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20,000.00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20,000.00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老年大学经费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13,000.00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13,000.00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老干部帮扶基金</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50,000.00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30,000.00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-40.00%</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帮扶对象非固定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老干部管理业务费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45,000.00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45,000.00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老干部特需费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400,000.00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520,000.00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+30.00%</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按照新增100人预算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老年书画协会经费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老年音乐舞蹈协会</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老年体协经费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老干部活动中心</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15,000.00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15,000.00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老干部体检费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180,000.00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180,000.00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p>
        </w:tc>
      </w:tr>
    </w:tbl>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rPr>
          <w:rFonts w:hint="default"/>
          <w:sz w:val="28"/>
          <w:szCs w:val="28"/>
          <w:highlight w:val="none"/>
          <w:lang w:val="en-US" w:eastAsia="zh-CN"/>
        </w:rPr>
      </w:pPr>
      <w:r>
        <w:rPr>
          <w:rFonts w:hint="eastAsia"/>
          <w:sz w:val="28"/>
          <w:szCs w:val="28"/>
          <w:highlight w:val="none"/>
          <w:lang w:val="en-US" w:eastAsia="zh-CN"/>
        </w:rPr>
        <w:t xml:space="preserve">    ④临猗县老干部局2020年度“三公经费”12,000.00元，2019年度“三公经费”12,000.00元，未发生变动。依据评分标准，“三公经费”变动率等于0的得满分；该指标权重2分，得分2分。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ascii="仿宋_GB2312" w:hAnsi="Times New Roman" w:eastAsia="仿宋_GB2312"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（2）</w:t>
      </w:r>
      <w:r>
        <w:rPr>
          <w:rFonts w:hint="default" w:ascii="仿宋_GB2312" w:hAnsi="Times New Roman" w:eastAsia="仿宋_GB2312" w:cs="Times New Roman"/>
          <w:b/>
          <w:bCs/>
          <w:kern w:val="2"/>
          <w:sz w:val="28"/>
          <w:szCs w:val="28"/>
          <w:highlight w:val="none"/>
          <w:lang w:val="en-US" w:eastAsia="zh-CN" w:bidi="ar-SA"/>
        </w:rPr>
        <w:t>B1-</w:t>
      </w:r>
      <w:r>
        <w:rPr>
          <w:rFonts w:hint="eastAsia" w:hAnsi="Times New Roman" w:cs="Times New Roman"/>
          <w:b/>
          <w:bCs/>
          <w:kern w:val="2"/>
          <w:sz w:val="28"/>
          <w:szCs w:val="28"/>
          <w:highlight w:val="none"/>
          <w:lang w:val="en-US" w:eastAsia="zh-CN" w:bidi="ar-SA"/>
        </w:rPr>
        <w:t>2</w:t>
      </w:r>
      <w:r>
        <w:rPr>
          <w:rFonts w:hint="default" w:ascii="仿宋_GB2312" w:hAnsi="Times New Roman" w:eastAsia="仿宋_GB2312" w:cs="Times New Roman"/>
          <w:b/>
          <w:bCs/>
          <w:kern w:val="2"/>
          <w:sz w:val="28"/>
          <w:szCs w:val="28"/>
          <w:highlight w:val="none"/>
          <w:lang w:val="en-US" w:eastAsia="zh-CN" w:bidi="ar-SA"/>
        </w:rPr>
        <w:t>预算</w:t>
      </w:r>
      <w:r>
        <w:rPr>
          <w:rFonts w:hint="eastAsia" w:hAnsi="Times New Roman" w:cs="Times New Roman"/>
          <w:b/>
          <w:bCs/>
          <w:kern w:val="2"/>
          <w:sz w:val="28"/>
          <w:szCs w:val="28"/>
          <w:highlight w:val="none"/>
          <w:lang w:val="en-US" w:eastAsia="zh-CN" w:bidi="ar-SA"/>
        </w:rPr>
        <w:t>执行管理</w:t>
      </w:r>
    </w:p>
    <w:p>
      <w:pPr>
        <w:pStyle w:val="2"/>
        <w:ind w:firstLine="560" w:firstLineChars="200"/>
        <w:rPr>
          <w:rFonts w:hint="default"/>
          <w:sz w:val="28"/>
          <w:szCs w:val="28"/>
          <w:highlight w:val="none"/>
          <w:lang w:val="en-US" w:eastAsia="zh-CN"/>
        </w:rPr>
      </w:pPr>
      <w:r>
        <w:rPr>
          <w:rFonts w:hint="eastAsia"/>
          <w:sz w:val="28"/>
          <w:szCs w:val="28"/>
          <w:highlight w:val="none"/>
          <w:lang w:val="en-US" w:eastAsia="zh-CN"/>
        </w:rPr>
        <w:t>预算执行管理从7个方面进行评价，分别是：预算完成率、预算调整率、支付进度率、结转结余率、结转结余变动率、公用经费控制率、“三公经费”控制率。预算执行管理指标总分13分，得分12分。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hAnsi="Times New Roman"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①临猗县老干部局2020年度财政收入共计</w:t>
      </w:r>
      <w:r>
        <w:rPr>
          <w:rFonts w:hint="default" w:ascii="仿宋_GB2312" w:hAnsi="Times New Roman" w:eastAsia="仿宋_GB2312" w:cs="Times New Roman"/>
          <w:b w:val="0"/>
          <w:bCs w:val="0"/>
          <w:kern w:val="2"/>
          <w:sz w:val="28"/>
          <w:szCs w:val="28"/>
          <w:highlight w:val="none"/>
          <w:lang w:val="en-US" w:eastAsia="zh-CN" w:bidi="ar-SA"/>
        </w:rPr>
        <w:t>2,602,076.83</w:t>
      </w:r>
      <w:r>
        <w:rPr>
          <w:rFonts w:hint="eastAsia" w:cs="Times New Roman"/>
          <w:b w:val="0"/>
          <w:bCs w:val="0"/>
          <w:kern w:val="2"/>
          <w:sz w:val="28"/>
          <w:szCs w:val="28"/>
          <w:highlight w:val="none"/>
          <w:lang w:val="en-US" w:eastAsia="zh-CN" w:bidi="ar-SA"/>
        </w:rPr>
        <w:t>元，支出</w:t>
      </w:r>
      <w:r>
        <w:rPr>
          <w:rFonts w:hint="default" w:ascii="仿宋_GB2312" w:hAnsi="Times New Roman" w:eastAsia="仿宋_GB2312" w:cs="Times New Roman"/>
          <w:b w:val="0"/>
          <w:bCs w:val="0"/>
          <w:kern w:val="2"/>
          <w:sz w:val="28"/>
          <w:szCs w:val="28"/>
          <w:highlight w:val="none"/>
          <w:lang w:val="en-US" w:eastAsia="zh-CN" w:bidi="ar-SA"/>
        </w:rPr>
        <w:t>2,602,076.83</w:t>
      </w:r>
      <w:r>
        <w:rPr>
          <w:rFonts w:hint="eastAsia" w:cs="Times New Roman"/>
          <w:b w:val="0"/>
          <w:bCs w:val="0"/>
          <w:kern w:val="2"/>
          <w:sz w:val="28"/>
          <w:szCs w:val="28"/>
          <w:highlight w:val="none"/>
          <w:lang w:val="en-US" w:eastAsia="zh-CN" w:bidi="ar-SA"/>
        </w:rPr>
        <w:t>元，预算完成率=（</w:t>
      </w:r>
      <w:r>
        <w:rPr>
          <w:rFonts w:hint="default" w:ascii="仿宋_GB2312" w:hAnsi="Times New Roman" w:eastAsia="仿宋_GB2312" w:cs="Times New Roman"/>
          <w:b w:val="0"/>
          <w:bCs w:val="0"/>
          <w:kern w:val="2"/>
          <w:sz w:val="28"/>
          <w:szCs w:val="28"/>
          <w:highlight w:val="none"/>
          <w:lang w:val="en-US" w:eastAsia="zh-CN" w:bidi="ar-SA"/>
        </w:rPr>
        <w:t>2,602,076.83</w:t>
      </w:r>
      <w:r>
        <w:rPr>
          <w:rFonts w:hint="eastAsia" w:cs="Times New Roman"/>
          <w:b w:val="0"/>
          <w:bCs w:val="0"/>
          <w:kern w:val="2"/>
          <w:sz w:val="28"/>
          <w:szCs w:val="28"/>
          <w:highlight w:val="none"/>
          <w:lang w:val="en-US" w:eastAsia="zh-CN" w:bidi="ar-SA"/>
        </w:rPr>
        <w:t>元/</w:t>
      </w:r>
      <w:r>
        <w:rPr>
          <w:rFonts w:hint="default" w:ascii="仿宋_GB2312" w:hAnsi="Times New Roman" w:eastAsia="仿宋_GB2312" w:cs="Times New Roman"/>
          <w:b w:val="0"/>
          <w:bCs w:val="0"/>
          <w:kern w:val="2"/>
          <w:sz w:val="28"/>
          <w:szCs w:val="28"/>
          <w:highlight w:val="none"/>
          <w:lang w:val="en-US" w:eastAsia="zh-CN" w:bidi="ar-SA"/>
        </w:rPr>
        <w:t>2,602,076.83</w:t>
      </w:r>
      <w:r>
        <w:rPr>
          <w:rFonts w:hint="eastAsia" w:cs="Times New Roman"/>
          <w:b w:val="0"/>
          <w:bCs w:val="0"/>
          <w:kern w:val="2"/>
          <w:sz w:val="28"/>
          <w:szCs w:val="28"/>
          <w:highlight w:val="none"/>
          <w:lang w:val="en-US" w:eastAsia="zh-CN" w:bidi="ar-SA"/>
        </w:rPr>
        <w:t>元）×100%=</w:t>
      </w:r>
      <w:r>
        <w:rPr>
          <w:rFonts w:hint="eastAsia" w:hAnsi="Times New Roman" w:cs="Times New Roman"/>
          <w:b w:val="0"/>
          <w:bCs w:val="0"/>
          <w:kern w:val="2"/>
          <w:sz w:val="28"/>
          <w:szCs w:val="28"/>
          <w:highlight w:val="none"/>
          <w:lang w:val="en-US" w:eastAsia="zh-CN" w:bidi="ar-SA"/>
        </w:rPr>
        <w:t>100</w:t>
      </w:r>
      <w:r>
        <w:rPr>
          <w:rFonts w:hint="default" w:ascii="仿宋_GB2312" w:hAnsi="Times New Roman" w:eastAsia="仿宋_GB2312" w:cs="Times New Roman"/>
          <w:b w:val="0"/>
          <w:bCs w:val="0"/>
          <w:kern w:val="2"/>
          <w:sz w:val="28"/>
          <w:szCs w:val="28"/>
          <w:highlight w:val="none"/>
          <w:lang w:val="en-US" w:eastAsia="zh-CN" w:bidi="ar-SA"/>
        </w:rPr>
        <w:t>%</w:t>
      </w:r>
      <w:r>
        <w:rPr>
          <w:rFonts w:hint="eastAsia" w:cs="Times New Roman"/>
          <w:b w:val="0"/>
          <w:bCs w:val="0"/>
          <w:kern w:val="2"/>
          <w:sz w:val="28"/>
          <w:szCs w:val="28"/>
          <w:highlight w:val="none"/>
          <w:lang w:val="en-US" w:eastAsia="zh-CN" w:bidi="ar-SA"/>
        </w:rPr>
        <w:t>，依据评分标准，</w:t>
      </w:r>
      <w:r>
        <w:rPr>
          <w:rFonts w:hint="eastAsia" w:hAnsi="Times New Roman" w:cs="Times New Roman"/>
          <w:b w:val="0"/>
          <w:bCs w:val="0"/>
          <w:kern w:val="2"/>
          <w:sz w:val="28"/>
          <w:szCs w:val="28"/>
          <w:highlight w:val="none"/>
          <w:lang w:val="en-US" w:eastAsia="zh-CN" w:bidi="ar-SA"/>
        </w:rPr>
        <w:t>预算完成率大于或等于95%的得</w:t>
      </w:r>
      <w:r>
        <w:rPr>
          <w:rFonts w:hint="eastAsia" w:cs="Times New Roman"/>
          <w:b w:val="0"/>
          <w:bCs w:val="0"/>
          <w:kern w:val="2"/>
          <w:sz w:val="28"/>
          <w:szCs w:val="28"/>
          <w:highlight w:val="none"/>
          <w:lang w:val="en-US" w:eastAsia="zh-CN" w:bidi="ar-SA"/>
        </w:rPr>
        <w:t>1</w:t>
      </w:r>
      <w:r>
        <w:rPr>
          <w:rFonts w:hint="eastAsia" w:hAnsi="Times New Roman" w:cs="Times New Roman"/>
          <w:b w:val="0"/>
          <w:bCs w:val="0"/>
          <w:kern w:val="2"/>
          <w:sz w:val="28"/>
          <w:szCs w:val="28"/>
          <w:highlight w:val="none"/>
          <w:lang w:val="en-US" w:eastAsia="zh-CN" w:bidi="ar-SA"/>
        </w:rPr>
        <w:t>分</w:t>
      </w:r>
      <w:r>
        <w:rPr>
          <w:rFonts w:hint="eastAsia" w:cs="Times New Roman"/>
          <w:b w:val="0"/>
          <w:bCs w:val="0"/>
          <w:kern w:val="2"/>
          <w:sz w:val="28"/>
          <w:szCs w:val="28"/>
          <w:highlight w:val="none"/>
          <w:lang w:val="en-US" w:eastAsia="zh-CN" w:bidi="ar-SA"/>
        </w:rPr>
        <w:t>；</w:t>
      </w:r>
      <w:r>
        <w:rPr>
          <w:rFonts w:hint="eastAsia" w:hAnsi="Times New Roman" w:cs="Times New Roman"/>
          <w:b w:val="0"/>
          <w:bCs w:val="0"/>
          <w:kern w:val="2"/>
          <w:sz w:val="28"/>
          <w:szCs w:val="28"/>
          <w:highlight w:val="none"/>
          <w:lang w:val="en-US" w:eastAsia="zh-CN" w:bidi="ar-SA"/>
        </w:rPr>
        <w:t>该指标权重</w:t>
      </w:r>
      <w:r>
        <w:rPr>
          <w:rFonts w:hint="eastAsia" w:cs="Times New Roman"/>
          <w:b w:val="0"/>
          <w:bCs w:val="0"/>
          <w:kern w:val="2"/>
          <w:sz w:val="28"/>
          <w:szCs w:val="28"/>
          <w:highlight w:val="none"/>
          <w:lang w:val="en-US" w:eastAsia="zh-CN" w:bidi="ar-SA"/>
        </w:rPr>
        <w:t>2</w:t>
      </w:r>
      <w:r>
        <w:rPr>
          <w:rFonts w:hint="eastAsia" w:hAnsi="Times New Roman" w:cs="Times New Roman"/>
          <w:b w:val="0"/>
          <w:bCs w:val="0"/>
          <w:kern w:val="2"/>
          <w:sz w:val="28"/>
          <w:szCs w:val="28"/>
          <w:highlight w:val="none"/>
          <w:lang w:val="en-US" w:eastAsia="zh-CN" w:bidi="ar-SA"/>
        </w:rPr>
        <w:t>分，得分</w:t>
      </w:r>
      <w:r>
        <w:rPr>
          <w:rFonts w:hint="eastAsia" w:cs="Times New Roman"/>
          <w:b w:val="0"/>
          <w:bCs w:val="0"/>
          <w:kern w:val="2"/>
          <w:sz w:val="28"/>
          <w:szCs w:val="28"/>
          <w:highlight w:val="none"/>
          <w:lang w:val="en-US" w:eastAsia="zh-CN" w:bidi="ar-SA"/>
        </w:rPr>
        <w:t>2分</w:t>
      </w:r>
      <w:r>
        <w:rPr>
          <w:rFonts w:hint="eastAsia" w:hAnsi="Times New Roman" w:cs="Times New Roman"/>
          <w:b w:val="0"/>
          <w:bCs w:val="0"/>
          <w:kern w:val="2"/>
          <w:sz w:val="28"/>
          <w:szCs w:val="28"/>
          <w:highlight w:val="none"/>
          <w:lang w:val="en-US"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default"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②2020年度年初预算批复1,977,490.00元，预算追加624,586.83 元（其中：人员经费137,958.43元、项目支出625,972.83 元）。本年追加的人员经费137,958.43元，主要是部门新增1名工作人员；项目支出625,972.83 元为独生子女奖励19,634.40元，2019年度目标责任考核奖励资金80,000.00元，安家抚恤补助资金388,380.00元。上述预算调整均为因落实国家政策、发生不可抗力、上级部门临时交办而产生的调整。所以预算调整率为0，依据评分标准，该指标权重2分，得分2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default" w:eastAsia="仿宋" w:cs="Times New Roman"/>
          <w:b/>
          <w:bCs/>
          <w:kern w:val="2"/>
          <w:sz w:val="28"/>
          <w:szCs w:val="28"/>
          <w:highlight w:val="none"/>
          <w:lang w:val="en-US" w:eastAsia="zh-CN" w:bidi="ar-SA"/>
        </w:rPr>
      </w:pPr>
      <w:r>
        <w:rPr>
          <w:rFonts w:hint="eastAsia" w:cs="Times New Roman"/>
          <w:b w:val="0"/>
          <w:bCs w:val="0"/>
          <w:kern w:val="2"/>
          <w:sz w:val="28"/>
          <w:szCs w:val="28"/>
          <w:highlight w:val="none"/>
          <w:lang w:val="en-US" w:eastAsia="zh-CN" w:bidi="ar-SA"/>
        </w:rPr>
        <w:t>③临猗县老干部局2020年度财政收入共计</w:t>
      </w:r>
      <w:r>
        <w:rPr>
          <w:rFonts w:hint="default" w:ascii="仿宋_GB2312" w:hAnsi="Times New Roman" w:eastAsia="仿宋_GB2312" w:cs="Times New Roman"/>
          <w:b w:val="0"/>
          <w:bCs w:val="0"/>
          <w:kern w:val="2"/>
          <w:sz w:val="28"/>
          <w:szCs w:val="28"/>
          <w:highlight w:val="none"/>
          <w:lang w:val="en-US" w:eastAsia="zh-CN" w:bidi="ar-SA"/>
        </w:rPr>
        <w:t>2,602,076.83</w:t>
      </w:r>
      <w:r>
        <w:rPr>
          <w:rFonts w:hint="eastAsia" w:cs="Times New Roman"/>
          <w:b w:val="0"/>
          <w:bCs w:val="0"/>
          <w:kern w:val="2"/>
          <w:sz w:val="28"/>
          <w:szCs w:val="28"/>
          <w:highlight w:val="none"/>
          <w:lang w:val="en-US" w:eastAsia="zh-CN" w:bidi="ar-SA"/>
        </w:rPr>
        <w:t>元，财政支出共计</w:t>
      </w:r>
      <w:r>
        <w:rPr>
          <w:rFonts w:hint="default" w:ascii="仿宋_GB2312" w:hAnsi="Times New Roman" w:eastAsia="仿宋_GB2312" w:cs="Times New Roman"/>
          <w:b w:val="0"/>
          <w:bCs w:val="0"/>
          <w:kern w:val="2"/>
          <w:sz w:val="28"/>
          <w:szCs w:val="28"/>
          <w:highlight w:val="none"/>
          <w:lang w:val="en-US" w:eastAsia="zh-CN" w:bidi="ar-SA"/>
        </w:rPr>
        <w:t>2,602,076.83</w:t>
      </w:r>
      <w:r>
        <w:rPr>
          <w:rFonts w:hint="eastAsia" w:cs="Times New Roman"/>
          <w:b w:val="0"/>
          <w:bCs w:val="0"/>
          <w:kern w:val="2"/>
          <w:sz w:val="28"/>
          <w:szCs w:val="28"/>
          <w:highlight w:val="none"/>
          <w:lang w:val="en-US" w:eastAsia="zh-CN" w:bidi="ar-SA"/>
        </w:rPr>
        <w:t>元。依据评分标准，支付进度率等于100%得2分；支付进度率指标权重2分，得2分。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④临猗县老干部局2020年度结余资金0.00万元，支出预算总数2,602,076.83元。结转结余率=（0元/2,602,076.83元）×100%=0，依据评分标准，结转结余率小于或等于5%得1分；该指标权重2分，得分2分。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default"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⑤2019年末结转和结余资金0.00万元，2020年末结转和结余资金0.00万元。结转结余变动率为0，依据评分标准，结转结余变动率小于等于0的得1分；该指标权重1分，得1分。</w:t>
      </w:r>
    </w:p>
    <w:p>
      <w:pPr>
        <w:ind w:firstLine="560"/>
        <w:rPr>
          <w:rFonts w:hint="eastAsia" w:ascii="仿宋_GB2312" w:eastAsia="仿宋_GB2312" w:cs="Times New Roman" w:hAnsiTheme="minorHAnsi"/>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⑥</w:t>
      </w:r>
      <w:r>
        <w:rPr>
          <w:rFonts w:hint="eastAsia" w:ascii="仿宋_GB2312" w:eastAsia="仿宋_GB2312" w:cs="Times New Roman" w:hAnsiTheme="minorHAnsi"/>
          <w:b w:val="0"/>
          <w:bCs w:val="0"/>
          <w:kern w:val="2"/>
          <w:sz w:val="28"/>
          <w:szCs w:val="28"/>
          <w:highlight w:val="none"/>
          <w:lang w:val="en-US" w:eastAsia="zh-CN" w:bidi="ar-SA"/>
        </w:rPr>
        <w:t>2020年度预算安排的公用经费为121,136.00元，实际支出118,077.00元，</w:t>
      </w:r>
      <w:r>
        <w:rPr>
          <w:rFonts w:hint="default" w:ascii="仿宋_GB2312" w:eastAsia="仿宋_GB2312" w:cs="Times New Roman" w:hAnsiTheme="minorHAnsi"/>
          <w:b w:val="0"/>
          <w:bCs w:val="0"/>
          <w:kern w:val="2"/>
          <w:sz w:val="28"/>
          <w:szCs w:val="28"/>
          <w:highlight w:val="none"/>
          <w:lang w:val="en-US" w:eastAsia="zh-CN" w:bidi="ar-SA"/>
        </w:rPr>
        <w:t>公用经费控制率</w:t>
      </w:r>
      <w:r>
        <w:rPr>
          <w:rFonts w:hint="eastAsia" w:ascii="仿宋_GB2312" w:eastAsia="仿宋_GB2312" w:cs="Times New Roman" w:hAnsiTheme="minorHAnsi"/>
          <w:b w:val="0"/>
          <w:bCs w:val="0"/>
          <w:kern w:val="2"/>
          <w:sz w:val="28"/>
          <w:szCs w:val="28"/>
          <w:highlight w:val="none"/>
          <w:lang w:val="en-US" w:eastAsia="zh-CN" w:bidi="ar-SA"/>
        </w:rPr>
        <w:t>为（118,077.00元/121,136.00元）×100%=97.47%。依据评分标准，公用经费控制率小于或等于100%得</w:t>
      </w:r>
      <w:r>
        <w:rPr>
          <w:rFonts w:hint="eastAsia" w:ascii="仿宋_GB2312" w:eastAsia="仿宋_GB2312" w:cs="Times New Roman"/>
          <w:b w:val="0"/>
          <w:bCs w:val="0"/>
          <w:kern w:val="2"/>
          <w:sz w:val="28"/>
          <w:szCs w:val="28"/>
          <w:highlight w:val="none"/>
          <w:lang w:val="en-US" w:eastAsia="zh-CN" w:bidi="ar-SA"/>
        </w:rPr>
        <w:t>2</w:t>
      </w:r>
      <w:r>
        <w:rPr>
          <w:rFonts w:hint="eastAsia" w:ascii="仿宋_GB2312" w:eastAsia="仿宋_GB2312" w:cs="Times New Roman" w:hAnsiTheme="minorHAnsi"/>
          <w:b w:val="0"/>
          <w:bCs w:val="0"/>
          <w:kern w:val="2"/>
          <w:sz w:val="28"/>
          <w:szCs w:val="28"/>
          <w:highlight w:val="none"/>
          <w:lang w:val="en-US" w:eastAsia="zh-CN" w:bidi="ar-SA"/>
        </w:rPr>
        <w:t>分；该指标权重</w:t>
      </w:r>
      <w:r>
        <w:rPr>
          <w:rFonts w:hint="eastAsia" w:ascii="仿宋_GB2312" w:eastAsia="仿宋_GB2312" w:cs="Times New Roman"/>
          <w:b w:val="0"/>
          <w:bCs w:val="0"/>
          <w:kern w:val="2"/>
          <w:sz w:val="28"/>
          <w:szCs w:val="28"/>
          <w:highlight w:val="none"/>
          <w:lang w:val="en-US" w:eastAsia="zh-CN" w:bidi="ar-SA"/>
        </w:rPr>
        <w:t>2</w:t>
      </w:r>
      <w:r>
        <w:rPr>
          <w:rFonts w:hint="eastAsia" w:ascii="仿宋_GB2312" w:eastAsia="仿宋_GB2312" w:cs="Times New Roman" w:hAnsiTheme="minorHAnsi"/>
          <w:b w:val="0"/>
          <w:bCs w:val="0"/>
          <w:kern w:val="2"/>
          <w:sz w:val="28"/>
          <w:szCs w:val="28"/>
          <w:highlight w:val="none"/>
          <w:lang w:val="en-US" w:eastAsia="zh-CN" w:bidi="ar-SA"/>
        </w:rPr>
        <w:t>分，得分</w:t>
      </w:r>
      <w:r>
        <w:rPr>
          <w:rFonts w:hint="eastAsia" w:ascii="仿宋_GB2312" w:eastAsia="仿宋_GB2312" w:cs="Times New Roman"/>
          <w:b w:val="0"/>
          <w:bCs w:val="0"/>
          <w:kern w:val="2"/>
          <w:sz w:val="28"/>
          <w:szCs w:val="28"/>
          <w:highlight w:val="none"/>
          <w:lang w:val="en-US" w:eastAsia="zh-CN" w:bidi="ar-SA"/>
        </w:rPr>
        <w:t>2</w:t>
      </w:r>
      <w:r>
        <w:rPr>
          <w:rFonts w:hint="eastAsia" w:ascii="仿宋_GB2312" w:eastAsia="仿宋_GB2312" w:cs="Times New Roman" w:hAnsiTheme="minorHAnsi"/>
          <w:b w:val="0"/>
          <w:bCs w:val="0"/>
          <w:kern w:val="2"/>
          <w:sz w:val="28"/>
          <w:szCs w:val="28"/>
          <w:highlight w:val="none"/>
          <w:lang w:val="en-US" w:eastAsia="zh-CN" w:bidi="ar-SA"/>
        </w:rPr>
        <w:t>分。</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 xml:space="preserve">⑦2020年度预算安排的“三公经费”为12,000.00元，为公务用车运行维护费。2020年度公车运维费实际支出13,904.00元，详见表4-2-2其中：公车运维费科目列支11,366.00元，办公费列支购汽车坐垫等费用433.00元，维修费列支车辆维修费2,105.00元。依据评分标准，“三公经费”超过预算的不得分；该指标权重1分，得分0分。  </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center"/>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表4-2-2 公车运维费支出明细</w:t>
      </w:r>
    </w:p>
    <w:tbl>
      <w:tblPr>
        <w:tblStyle w:val="7"/>
        <w:tblW w:w="9414" w:type="dxa"/>
        <w:tblInd w:w="-591" w:type="dxa"/>
        <w:shd w:val="clear" w:color="auto" w:fill="auto"/>
        <w:tblLayout w:type="fixed"/>
        <w:tblCellMar>
          <w:top w:w="0" w:type="dxa"/>
          <w:left w:w="108" w:type="dxa"/>
          <w:bottom w:w="0" w:type="dxa"/>
          <w:right w:w="108" w:type="dxa"/>
        </w:tblCellMar>
      </w:tblPr>
      <w:tblGrid>
        <w:gridCol w:w="1312"/>
        <w:gridCol w:w="1011"/>
        <w:gridCol w:w="1519"/>
        <w:gridCol w:w="1200"/>
        <w:gridCol w:w="2718"/>
        <w:gridCol w:w="1654"/>
      </w:tblGrid>
      <w:tr>
        <w:tblPrEx>
          <w:shd w:val="clear" w:color="auto" w:fill="auto"/>
          <w:tblCellMar>
            <w:top w:w="0" w:type="dxa"/>
            <w:left w:w="108" w:type="dxa"/>
            <w:bottom w:w="0" w:type="dxa"/>
            <w:right w:w="108" w:type="dxa"/>
          </w:tblCellMar>
        </w:tblPrEx>
        <w:trPr>
          <w:trHeight w:val="283" w:hRule="atLeast"/>
          <w:tblHeader/>
        </w:trPr>
        <w:tc>
          <w:tcPr>
            <w:tcW w:w="1312"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凭证日期</w:t>
            </w:r>
          </w:p>
        </w:tc>
        <w:tc>
          <w:tcPr>
            <w:tcW w:w="101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凭证号</w:t>
            </w:r>
          </w:p>
        </w:tc>
        <w:tc>
          <w:tcPr>
            <w:tcW w:w="1519"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摘要</w:t>
            </w:r>
          </w:p>
        </w:tc>
        <w:tc>
          <w:tcPr>
            <w:tcW w:w="1200"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金额</w:t>
            </w:r>
          </w:p>
        </w:tc>
        <w:tc>
          <w:tcPr>
            <w:tcW w:w="271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经济科目</w:t>
            </w:r>
          </w:p>
        </w:tc>
        <w:tc>
          <w:tcPr>
            <w:tcW w:w="165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备注</w:t>
            </w:r>
          </w:p>
        </w:tc>
      </w:tr>
      <w:tr>
        <w:tblPrEx>
          <w:tblCellMar>
            <w:top w:w="0" w:type="dxa"/>
            <w:left w:w="108" w:type="dxa"/>
            <w:bottom w:w="0" w:type="dxa"/>
            <w:right w:w="108" w:type="dxa"/>
          </w:tblCellMar>
        </w:tblPrEx>
        <w:trPr>
          <w:trHeight w:val="282" w:hRule="atLeast"/>
        </w:trPr>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2020-03-31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记账 10</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支车辆年检费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400.00 </w:t>
            </w:r>
          </w:p>
        </w:tc>
        <w:tc>
          <w:tcPr>
            <w:tcW w:w="2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30231公务用车运行维护费</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年检</w:t>
            </w:r>
          </w:p>
        </w:tc>
      </w:tr>
      <w:tr>
        <w:tblPrEx>
          <w:tblCellMar>
            <w:top w:w="0" w:type="dxa"/>
            <w:left w:w="108" w:type="dxa"/>
            <w:bottom w:w="0" w:type="dxa"/>
            <w:right w:w="108" w:type="dxa"/>
          </w:tblCellMar>
        </w:tblPrEx>
        <w:trPr>
          <w:trHeight w:val="282" w:hRule="atLeast"/>
        </w:trPr>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2020-03-31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记账 10</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支车辆保险款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1,025.00 </w:t>
            </w:r>
          </w:p>
        </w:tc>
        <w:tc>
          <w:tcPr>
            <w:tcW w:w="2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30231公务用车运行维护费</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交强险</w:t>
            </w:r>
          </w:p>
        </w:tc>
      </w:tr>
      <w:tr>
        <w:tblPrEx>
          <w:tblCellMar>
            <w:top w:w="0" w:type="dxa"/>
            <w:left w:w="108" w:type="dxa"/>
            <w:bottom w:w="0" w:type="dxa"/>
            <w:right w:w="108" w:type="dxa"/>
          </w:tblCellMar>
        </w:tblPrEx>
        <w:trPr>
          <w:trHeight w:val="282" w:hRule="atLeast"/>
        </w:trPr>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2020-03-31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记账 11</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支车辆维修款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2,105.00 </w:t>
            </w:r>
          </w:p>
        </w:tc>
        <w:tc>
          <w:tcPr>
            <w:tcW w:w="2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30213维修（护）费</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车辆维修保养</w:t>
            </w:r>
          </w:p>
        </w:tc>
      </w:tr>
      <w:tr>
        <w:tblPrEx>
          <w:tblCellMar>
            <w:top w:w="0" w:type="dxa"/>
            <w:left w:w="108" w:type="dxa"/>
            <w:bottom w:w="0" w:type="dxa"/>
            <w:right w:w="108" w:type="dxa"/>
          </w:tblCellMar>
        </w:tblPrEx>
        <w:trPr>
          <w:trHeight w:val="282" w:hRule="atLeast"/>
        </w:trPr>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2020-03-31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记账 11</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支车辆购油款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5,000.00 </w:t>
            </w:r>
          </w:p>
        </w:tc>
        <w:tc>
          <w:tcPr>
            <w:tcW w:w="2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30231公务用车运行维护费</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充值油卡</w:t>
            </w:r>
          </w:p>
        </w:tc>
      </w:tr>
      <w:tr>
        <w:tblPrEx>
          <w:tblCellMar>
            <w:top w:w="0" w:type="dxa"/>
            <w:left w:w="108" w:type="dxa"/>
            <w:bottom w:w="0" w:type="dxa"/>
            <w:right w:w="108" w:type="dxa"/>
          </w:tblCellMar>
        </w:tblPrEx>
        <w:trPr>
          <w:trHeight w:val="282" w:hRule="atLeast"/>
        </w:trPr>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2020-05-31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记账 5</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支车辆过路费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38.00 </w:t>
            </w:r>
          </w:p>
        </w:tc>
        <w:tc>
          <w:tcPr>
            <w:tcW w:w="2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30231公务用车运行维护费</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过路费</w:t>
            </w:r>
          </w:p>
        </w:tc>
      </w:tr>
      <w:tr>
        <w:tblPrEx>
          <w:tblCellMar>
            <w:top w:w="0" w:type="dxa"/>
            <w:left w:w="108" w:type="dxa"/>
            <w:bottom w:w="0" w:type="dxa"/>
            <w:right w:w="108" w:type="dxa"/>
          </w:tblCellMar>
        </w:tblPrEx>
        <w:trPr>
          <w:trHeight w:val="282" w:hRule="atLeast"/>
        </w:trPr>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2020-05-31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记账 5</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支车辆加油款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715.00 </w:t>
            </w:r>
          </w:p>
        </w:tc>
        <w:tc>
          <w:tcPr>
            <w:tcW w:w="2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30231公务用车运行维护费</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油费</w:t>
            </w:r>
          </w:p>
        </w:tc>
      </w:tr>
      <w:tr>
        <w:tblPrEx>
          <w:tblCellMar>
            <w:top w:w="0" w:type="dxa"/>
            <w:left w:w="108" w:type="dxa"/>
            <w:bottom w:w="0" w:type="dxa"/>
            <w:right w:w="108" w:type="dxa"/>
          </w:tblCellMar>
        </w:tblPrEx>
        <w:trPr>
          <w:trHeight w:val="282" w:hRule="atLeast"/>
        </w:trPr>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2020-06-30</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记账 2</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支车辆加油款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595.00 </w:t>
            </w:r>
          </w:p>
        </w:tc>
        <w:tc>
          <w:tcPr>
            <w:tcW w:w="2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30231公务用车运行维护费</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油票</w:t>
            </w:r>
          </w:p>
        </w:tc>
      </w:tr>
      <w:tr>
        <w:tblPrEx>
          <w:tblCellMar>
            <w:top w:w="0" w:type="dxa"/>
            <w:left w:w="108" w:type="dxa"/>
            <w:bottom w:w="0" w:type="dxa"/>
            <w:right w:w="108" w:type="dxa"/>
          </w:tblCellMar>
        </w:tblPrEx>
        <w:trPr>
          <w:trHeight w:val="282" w:hRule="atLeast"/>
        </w:trPr>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2020-06-30</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记账 4</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支车辆维修</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1,185.00 </w:t>
            </w:r>
          </w:p>
        </w:tc>
        <w:tc>
          <w:tcPr>
            <w:tcW w:w="2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30231公务用车运行维护费</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继电器、机油等</w:t>
            </w:r>
          </w:p>
        </w:tc>
      </w:tr>
      <w:tr>
        <w:tblPrEx>
          <w:tblCellMar>
            <w:top w:w="0" w:type="dxa"/>
            <w:left w:w="108" w:type="dxa"/>
            <w:bottom w:w="0" w:type="dxa"/>
            <w:right w:w="108" w:type="dxa"/>
          </w:tblCellMar>
        </w:tblPrEx>
        <w:trPr>
          <w:trHeight w:val="282" w:hRule="atLeast"/>
        </w:trPr>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2020-07-31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记账 4</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支车辆加油款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455.00 </w:t>
            </w:r>
          </w:p>
        </w:tc>
        <w:tc>
          <w:tcPr>
            <w:tcW w:w="2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30231公务用车运行维护费</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油票</w:t>
            </w:r>
          </w:p>
        </w:tc>
      </w:tr>
      <w:tr>
        <w:tblPrEx>
          <w:tblCellMar>
            <w:top w:w="0" w:type="dxa"/>
            <w:left w:w="108" w:type="dxa"/>
            <w:bottom w:w="0" w:type="dxa"/>
            <w:right w:w="108" w:type="dxa"/>
          </w:tblCellMar>
        </w:tblPrEx>
        <w:trPr>
          <w:trHeight w:val="282" w:hRule="atLeast"/>
        </w:trPr>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2020-08-31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记账 4</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支车辆加油款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215.00 </w:t>
            </w:r>
          </w:p>
        </w:tc>
        <w:tc>
          <w:tcPr>
            <w:tcW w:w="2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30231公务用车运行维护费</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油票</w:t>
            </w:r>
          </w:p>
        </w:tc>
      </w:tr>
      <w:tr>
        <w:tblPrEx>
          <w:tblCellMar>
            <w:top w:w="0" w:type="dxa"/>
            <w:left w:w="108" w:type="dxa"/>
            <w:bottom w:w="0" w:type="dxa"/>
            <w:right w:w="108" w:type="dxa"/>
          </w:tblCellMar>
        </w:tblPrEx>
        <w:trPr>
          <w:trHeight w:val="282" w:hRule="atLeast"/>
        </w:trPr>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2020-09-30</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记账 6</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支车辆加油款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200.00 </w:t>
            </w:r>
          </w:p>
        </w:tc>
        <w:tc>
          <w:tcPr>
            <w:tcW w:w="2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30231公务用车运行维护费</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油票</w:t>
            </w:r>
          </w:p>
        </w:tc>
      </w:tr>
      <w:tr>
        <w:tblPrEx>
          <w:tblCellMar>
            <w:top w:w="0" w:type="dxa"/>
            <w:left w:w="108" w:type="dxa"/>
            <w:bottom w:w="0" w:type="dxa"/>
            <w:right w:w="108" w:type="dxa"/>
          </w:tblCellMar>
        </w:tblPrEx>
        <w:trPr>
          <w:trHeight w:val="282" w:hRule="atLeast"/>
        </w:trPr>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2020-09-30</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记账 6</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支日杂用品</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433.00 </w:t>
            </w:r>
          </w:p>
        </w:tc>
        <w:tc>
          <w:tcPr>
            <w:tcW w:w="2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30201办公费</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油拖、汽车坐垫</w:t>
            </w:r>
          </w:p>
        </w:tc>
      </w:tr>
      <w:tr>
        <w:tblPrEx>
          <w:tblCellMar>
            <w:top w:w="0" w:type="dxa"/>
            <w:left w:w="108" w:type="dxa"/>
            <w:bottom w:w="0" w:type="dxa"/>
            <w:right w:w="108" w:type="dxa"/>
          </w:tblCellMar>
        </w:tblPrEx>
        <w:trPr>
          <w:trHeight w:val="282" w:hRule="atLeast"/>
        </w:trPr>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2020-11-30</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记账 2</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支车辆过路费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28.00 </w:t>
            </w:r>
          </w:p>
        </w:tc>
        <w:tc>
          <w:tcPr>
            <w:tcW w:w="2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30231公务用车运行维护费</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过路费</w:t>
            </w:r>
          </w:p>
        </w:tc>
      </w:tr>
      <w:tr>
        <w:tblPrEx>
          <w:tblCellMar>
            <w:top w:w="0" w:type="dxa"/>
            <w:left w:w="108" w:type="dxa"/>
            <w:bottom w:w="0" w:type="dxa"/>
            <w:right w:w="108" w:type="dxa"/>
          </w:tblCellMar>
        </w:tblPrEx>
        <w:trPr>
          <w:trHeight w:val="282" w:hRule="atLeast"/>
        </w:trPr>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2020-11-30</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记账 3</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支车辆加油款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280.00 </w:t>
            </w:r>
          </w:p>
        </w:tc>
        <w:tc>
          <w:tcPr>
            <w:tcW w:w="2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30231公务用车运行维护费</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油票</w:t>
            </w:r>
          </w:p>
        </w:tc>
      </w:tr>
      <w:tr>
        <w:tblPrEx>
          <w:tblCellMar>
            <w:top w:w="0" w:type="dxa"/>
            <w:left w:w="108" w:type="dxa"/>
            <w:bottom w:w="0" w:type="dxa"/>
            <w:right w:w="108" w:type="dxa"/>
          </w:tblCellMar>
        </w:tblPrEx>
        <w:trPr>
          <w:trHeight w:val="282" w:hRule="atLeast"/>
        </w:trPr>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2020-11-30</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记账 3</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支车辆审验款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300.00 </w:t>
            </w:r>
          </w:p>
        </w:tc>
        <w:tc>
          <w:tcPr>
            <w:tcW w:w="2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30231公务用车运行维护费</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审车、安检</w:t>
            </w:r>
          </w:p>
        </w:tc>
      </w:tr>
      <w:tr>
        <w:tblPrEx>
          <w:tblCellMar>
            <w:top w:w="0" w:type="dxa"/>
            <w:left w:w="108" w:type="dxa"/>
            <w:bottom w:w="0" w:type="dxa"/>
            <w:right w:w="108" w:type="dxa"/>
          </w:tblCellMar>
        </w:tblPrEx>
        <w:trPr>
          <w:trHeight w:val="282" w:hRule="atLeast"/>
        </w:trPr>
        <w:tc>
          <w:tcPr>
            <w:tcW w:w="1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2020-11-30</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记账 5</w:t>
            </w:r>
          </w:p>
        </w:tc>
        <w:tc>
          <w:tcPr>
            <w:tcW w:w="1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支车辆保险</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 xml:space="preserve">930.00 </w:t>
            </w:r>
          </w:p>
        </w:tc>
        <w:tc>
          <w:tcPr>
            <w:tcW w:w="2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30231公务用车运行维护费</w:t>
            </w: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保险</w:t>
            </w:r>
          </w:p>
        </w:tc>
      </w:tr>
      <w:tr>
        <w:tblPrEx>
          <w:tblCellMar>
            <w:top w:w="0" w:type="dxa"/>
            <w:left w:w="108" w:type="dxa"/>
            <w:bottom w:w="0" w:type="dxa"/>
            <w:right w:w="108" w:type="dxa"/>
          </w:tblCellMar>
        </w:tblPrEx>
        <w:trPr>
          <w:trHeight w:val="282" w:hRule="atLeast"/>
        </w:trPr>
        <w:tc>
          <w:tcPr>
            <w:tcW w:w="384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合计</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 xml:space="preserve">13,904.00 </w:t>
            </w:r>
          </w:p>
        </w:tc>
        <w:tc>
          <w:tcPr>
            <w:tcW w:w="2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c>
          <w:tcPr>
            <w:tcW w:w="1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1"/>
                <w:szCs w:val="21"/>
                <w:u w:val="none"/>
                <w:lang w:val="en-US" w:eastAsia="zh-CN" w:bidi="ar"/>
              </w:rPr>
            </w:pPr>
          </w:p>
        </w:tc>
      </w:tr>
    </w:tbl>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ascii="仿宋_GB2312" w:hAnsi="Times New Roman" w:eastAsia="仿宋_GB2312"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（3）</w:t>
      </w:r>
      <w:r>
        <w:rPr>
          <w:rFonts w:hint="default" w:ascii="仿宋_GB2312" w:hAnsi="Times New Roman" w:eastAsia="仿宋_GB2312" w:cs="Times New Roman"/>
          <w:b/>
          <w:bCs/>
          <w:kern w:val="2"/>
          <w:sz w:val="28"/>
          <w:szCs w:val="28"/>
          <w:highlight w:val="none"/>
          <w:lang w:val="en-US" w:eastAsia="zh-CN" w:bidi="ar-SA"/>
        </w:rPr>
        <w:t>B1-</w:t>
      </w:r>
      <w:r>
        <w:rPr>
          <w:rFonts w:hint="eastAsia" w:hAnsi="Times New Roman" w:cs="Times New Roman"/>
          <w:b/>
          <w:bCs/>
          <w:kern w:val="2"/>
          <w:sz w:val="28"/>
          <w:szCs w:val="28"/>
          <w:highlight w:val="none"/>
          <w:lang w:val="en-US" w:eastAsia="zh-CN" w:bidi="ar-SA"/>
        </w:rPr>
        <w:t>3</w:t>
      </w:r>
      <w:r>
        <w:rPr>
          <w:rFonts w:hint="default" w:ascii="仿宋_GB2312" w:hAnsi="Times New Roman" w:eastAsia="仿宋_GB2312" w:cs="Times New Roman"/>
          <w:b/>
          <w:bCs/>
          <w:kern w:val="2"/>
          <w:sz w:val="28"/>
          <w:szCs w:val="28"/>
          <w:highlight w:val="none"/>
          <w:lang w:val="en-US" w:eastAsia="zh-CN" w:bidi="ar-SA"/>
        </w:rPr>
        <w:t>预算</w:t>
      </w:r>
      <w:r>
        <w:rPr>
          <w:rFonts w:hint="eastAsia" w:hAnsi="Times New Roman" w:cs="Times New Roman"/>
          <w:b/>
          <w:bCs/>
          <w:kern w:val="2"/>
          <w:sz w:val="28"/>
          <w:szCs w:val="28"/>
          <w:highlight w:val="none"/>
          <w:lang w:val="en-US" w:eastAsia="zh-CN" w:bidi="ar-SA"/>
        </w:rPr>
        <w:t>监督管理</w:t>
      </w:r>
    </w:p>
    <w:p>
      <w:pPr>
        <w:pStyle w:val="2"/>
        <w:ind w:firstLine="560" w:firstLineChars="200"/>
        <w:rPr>
          <w:rFonts w:hint="default"/>
          <w:sz w:val="28"/>
          <w:szCs w:val="28"/>
          <w:highlight w:val="none"/>
          <w:lang w:val="en-US" w:eastAsia="zh-CN"/>
        </w:rPr>
      </w:pPr>
      <w:r>
        <w:rPr>
          <w:rFonts w:hint="eastAsia"/>
          <w:sz w:val="28"/>
          <w:szCs w:val="28"/>
          <w:highlight w:val="none"/>
          <w:lang w:val="en-US" w:eastAsia="zh-CN"/>
        </w:rPr>
        <w:t>通过调查走访，临猗县财政局对临猗县老干部局2020年度预算信息进行审核并公示，未发现不良问题。依据评分标准，临猗县老干部局接受预算监督并检查合格的得3分，每出现1处问题扣1分；该指标权重3分，得分3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ascii="仿宋_GB2312" w:hAnsi="Times New Roman" w:eastAsia="仿宋_GB2312"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（4）</w:t>
      </w:r>
      <w:r>
        <w:rPr>
          <w:rFonts w:hint="default" w:ascii="仿宋_GB2312" w:hAnsi="Times New Roman" w:eastAsia="仿宋_GB2312" w:cs="Times New Roman"/>
          <w:b/>
          <w:bCs/>
          <w:kern w:val="2"/>
          <w:sz w:val="28"/>
          <w:szCs w:val="28"/>
          <w:highlight w:val="none"/>
          <w:lang w:val="en-US" w:eastAsia="zh-CN" w:bidi="ar-SA"/>
        </w:rPr>
        <w:t>B1-</w:t>
      </w:r>
      <w:r>
        <w:rPr>
          <w:rFonts w:hint="eastAsia" w:hAnsi="Times New Roman" w:cs="Times New Roman"/>
          <w:b/>
          <w:bCs/>
          <w:kern w:val="2"/>
          <w:sz w:val="28"/>
          <w:szCs w:val="28"/>
          <w:highlight w:val="none"/>
          <w:lang w:val="en-US" w:eastAsia="zh-CN" w:bidi="ar-SA"/>
        </w:rPr>
        <w:t>4</w:t>
      </w:r>
      <w:r>
        <w:rPr>
          <w:rFonts w:hint="default" w:ascii="仿宋_GB2312" w:hAnsi="Times New Roman" w:eastAsia="仿宋_GB2312" w:cs="Times New Roman"/>
          <w:b/>
          <w:bCs/>
          <w:kern w:val="2"/>
          <w:sz w:val="28"/>
          <w:szCs w:val="28"/>
          <w:highlight w:val="none"/>
          <w:lang w:val="en-US" w:eastAsia="zh-CN" w:bidi="ar-SA"/>
        </w:rPr>
        <w:t>预算</w:t>
      </w:r>
      <w:r>
        <w:rPr>
          <w:rFonts w:hint="eastAsia" w:hAnsi="Times New Roman" w:cs="Times New Roman"/>
          <w:b/>
          <w:bCs/>
          <w:kern w:val="2"/>
          <w:sz w:val="28"/>
          <w:szCs w:val="28"/>
          <w:highlight w:val="none"/>
          <w:lang w:val="en-US" w:eastAsia="zh-CN" w:bidi="ar-SA"/>
        </w:rPr>
        <w:t>绩效管理</w:t>
      </w:r>
    </w:p>
    <w:p>
      <w:pPr>
        <w:pStyle w:val="2"/>
        <w:ind w:firstLine="560" w:firstLineChars="200"/>
        <w:rPr>
          <w:rFonts w:hint="eastAsia"/>
          <w:sz w:val="28"/>
          <w:szCs w:val="28"/>
          <w:highlight w:val="none"/>
          <w:lang w:val="en-US" w:eastAsia="zh-CN"/>
        </w:rPr>
      </w:pPr>
      <w:r>
        <w:rPr>
          <w:rFonts w:hint="eastAsia"/>
          <w:sz w:val="28"/>
          <w:szCs w:val="28"/>
          <w:highlight w:val="none"/>
          <w:lang w:val="en-US" w:eastAsia="zh-CN"/>
        </w:rPr>
        <w:t>通过核实临猗县老干部局在绩效目标申报方面的健全情况，发现具备《临猗县项目支出绩效目标申报表》，对该局工作经费进行了申报。依据评分标准，申报整体绩效目标且全面的得0.5分，申报项目支出绩效目标且全面的得0.5分；该指标权重1分，得分1分。</w:t>
      </w:r>
    </w:p>
    <w:p>
      <w:pPr>
        <w:pStyle w:val="2"/>
        <w:ind w:firstLine="560" w:firstLineChars="200"/>
        <w:rPr>
          <w:rFonts w:hint="eastAsia"/>
          <w:sz w:val="28"/>
          <w:szCs w:val="28"/>
          <w:highlight w:val="none"/>
          <w:lang w:val="en-US" w:eastAsia="zh-CN"/>
        </w:rPr>
      </w:pPr>
      <w:r>
        <w:rPr>
          <w:rFonts w:hint="eastAsia"/>
          <w:sz w:val="28"/>
          <w:szCs w:val="28"/>
          <w:highlight w:val="none"/>
          <w:lang w:val="en-US" w:eastAsia="zh-CN"/>
        </w:rPr>
        <w:t>通过查看临猗县老干部局提供的《财政项目支出绩效运行监控情况表》，能够对绩效目标的实现程度进行监控。依据评分标准，进行监控的得1分；该指标权重1分，得分1分。</w:t>
      </w:r>
    </w:p>
    <w:p>
      <w:pPr>
        <w:pStyle w:val="2"/>
        <w:ind w:firstLine="560" w:firstLineChars="200"/>
        <w:rPr>
          <w:rFonts w:hint="eastAsia"/>
          <w:sz w:val="28"/>
          <w:szCs w:val="28"/>
          <w:highlight w:val="none"/>
          <w:lang w:val="en-US" w:eastAsia="zh-CN"/>
        </w:rPr>
      </w:pPr>
      <w:r>
        <w:rPr>
          <w:rFonts w:hint="eastAsia"/>
          <w:sz w:val="28"/>
          <w:szCs w:val="28"/>
          <w:highlight w:val="none"/>
          <w:lang w:val="en-US" w:eastAsia="zh-CN"/>
        </w:rPr>
        <w:t>通过现场核实，临猗县老干部局具有绩效自评报告。依据评分标准，编制自评报告得1分，对自评结果进行分析整改得1分，否则不得分；该指标权重2分，得分2分。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2.B2财务管理，权重8分，得分6分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ascii="仿宋_GB2312" w:hAnsi="Times New Roman" w:eastAsia="仿宋_GB2312"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（1）</w:t>
      </w:r>
      <w:r>
        <w:rPr>
          <w:rFonts w:hint="default" w:ascii="仿宋_GB2312" w:hAnsi="Times New Roman" w:eastAsia="仿宋_GB2312" w:cs="Times New Roman"/>
          <w:b/>
          <w:bCs/>
          <w:kern w:val="2"/>
          <w:sz w:val="28"/>
          <w:szCs w:val="28"/>
          <w:highlight w:val="none"/>
          <w:lang w:val="en-US" w:eastAsia="zh-CN" w:bidi="ar-SA"/>
        </w:rPr>
        <w:t>B</w:t>
      </w:r>
      <w:r>
        <w:rPr>
          <w:rFonts w:hint="eastAsia" w:hAnsi="Times New Roman" w:cs="Times New Roman"/>
          <w:b/>
          <w:bCs/>
          <w:kern w:val="2"/>
          <w:sz w:val="28"/>
          <w:szCs w:val="28"/>
          <w:highlight w:val="none"/>
          <w:lang w:val="en-US" w:eastAsia="zh-CN" w:bidi="ar-SA"/>
        </w:rPr>
        <w:t>2</w:t>
      </w:r>
      <w:r>
        <w:rPr>
          <w:rFonts w:hint="default" w:ascii="仿宋_GB2312" w:hAnsi="Times New Roman" w:eastAsia="仿宋_GB2312" w:cs="Times New Roman"/>
          <w:b/>
          <w:bCs/>
          <w:kern w:val="2"/>
          <w:sz w:val="28"/>
          <w:szCs w:val="28"/>
          <w:highlight w:val="none"/>
          <w:lang w:val="en-US" w:eastAsia="zh-CN" w:bidi="ar-SA"/>
        </w:rPr>
        <w:t>-1</w:t>
      </w:r>
      <w:r>
        <w:rPr>
          <w:rFonts w:hint="eastAsia" w:hAnsi="Times New Roman" w:cs="Times New Roman"/>
          <w:b/>
          <w:bCs/>
          <w:kern w:val="2"/>
          <w:sz w:val="28"/>
          <w:szCs w:val="28"/>
          <w:highlight w:val="none"/>
          <w:lang w:val="en-US" w:eastAsia="zh-CN" w:bidi="ar-SA"/>
        </w:rPr>
        <w:t>财务管理规范性</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临猗县老干部局在预算及财务管理制度方面制定了《财务管理制度》《</w:t>
      </w:r>
      <w:r>
        <w:rPr>
          <w:rFonts w:hint="eastAsia" w:cs="Times New Roman"/>
          <w:b w:val="0"/>
          <w:bCs w:val="0"/>
          <w:kern w:val="2"/>
          <w:sz w:val="28"/>
          <w:szCs w:val="28"/>
          <w:highlight w:val="none"/>
          <w:u w:val="none"/>
          <w:lang w:val="en-US" w:eastAsia="zh-CN" w:bidi="ar-SA"/>
        </w:rPr>
        <w:t>预算业务管理制度</w:t>
      </w:r>
      <w:r>
        <w:rPr>
          <w:rFonts w:hint="eastAsia" w:cs="Times New Roman"/>
          <w:b w:val="0"/>
          <w:bCs w:val="0"/>
          <w:kern w:val="2"/>
          <w:sz w:val="28"/>
          <w:szCs w:val="28"/>
          <w:highlight w:val="none"/>
          <w:lang w:val="en-US" w:eastAsia="zh-CN" w:bidi="ar-SA"/>
        </w:rPr>
        <w:t>》《</w:t>
      </w:r>
      <w:r>
        <w:rPr>
          <w:rFonts w:hint="eastAsia" w:cs="Times New Roman"/>
          <w:b w:val="0"/>
          <w:bCs w:val="0"/>
          <w:kern w:val="2"/>
          <w:sz w:val="28"/>
          <w:szCs w:val="28"/>
          <w:highlight w:val="none"/>
          <w:u w:val="none"/>
          <w:lang w:val="en-US" w:eastAsia="zh-CN" w:bidi="ar-SA"/>
        </w:rPr>
        <w:t>财务开支审批制度</w:t>
      </w:r>
      <w:r>
        <w:rPr>
          <w:rFonts w:hint="eastAsia" w:cs="Times New Roman"/>
          <w:b w:val="0"/>
          <w:bCs w:val="0"/>
          <w:kern w:val="2"/>
          <w:sz w:val="28"/>
          <w:szCs w:val="28"/>
          <w:highlight w:val="none"/>
          <w:lang w:val="en-US" w:eastAsia="zh-CN" w:bidi="ar-SA"/>
        </w:rPr>
        <w:t>》《</w:t>
      </w:r>
      <w:r>
        <w:rPr>
          <w:rFonts w:hint="eastAsia" w:cs="Times New Roman"/>
          <w:b w:val="0"/>
          <w:bCs w:val="0"/>
          <w:kern w:val="2"/>
          <w:sz w:val="28"/>
          <w:szCs w:val="28"/>
          <w:highlight w:val="none"/>
          <w:u w:val="none"/>
          <w:lang w:val="en-US" w:eastAsia="zh-CN" w:bidi="ar-SA"/>
        </w:rPr>
        <w:t>政府采购业务管理制度</w:t>
      </w:r>
      <w:r>
        <w:rPr>
          <w:rFonts w:hint="eastAsia" w:cs="Times New Roman"/>
          <w:b w:val="0"/>
          <w:bCs w:val="0"/>
          <w:kern w:val="2"/>
          <w:sz w:val="28"/>
          <w:szCs w:val="28"/>
          <w:highlight w:val="none"/>
          <w:lang w:val="en-US" w:eastAsia="zh-CN" w:bidi="ar-SA"/>
        </w:rPr>
        <w:t>》《</w:t>
      </w:r>
      <w:r>
        <w:rPr>
          <w:rFonts w:hint="eastAsia" w:cs="Times New Roman"/>
          <w:b w:val="0"/>
          <w:bCs w:val="0"/>
          <w:kern w:val="2"/>
          <w:sz w:val="28"/>
          <w:szCs w:val="28"/>
          <w:highlight w:val="none"/>
          <w:u w:val="none"/>
          <w:lang w:val="en-US" w:eastAsia="zh-CN" w:bidi="ar-SA"/>
        </w:rPr>
        <w:t>三重一大集体决策制度</w:t>
      </w:r>
      <w:r>
        <w:rPr>
          <w:rFonts w:hint="eastAsia" w:cs="Times New Roman"/>
          <w:b w:val="0"/>
          <w:bCs w:val="0"/>
          <w:kern w:val="2"/>
          <w:sz w:val="28"/>
          <w:szCs w:val="28"/>
          <w:highlight w:val="none"/>
          <w:lang w:val="en-US" w:eastAsia="zh-CN" w:bidi="ar-SA"/>
        </w:rPr>
        <w:t>》《</w:t>
      </w:r>
      <w:r>
        <w:rPr>
          <w:rFonts w:hint="eastAsia" w:cs="Times New Roman"/>
          <w:b w:val="0"/>
          <w:bCs w:val="0"/>
          <w:kern w:val="2"/>
          <w:sz w:val="28"/>
          <w:szCs w:val="28"/>
          <w:highlight w:val="none"/>
          <w:u w:val="none"/>
          <w:lang w:val="en-US" w:eastAsia="zh-CN" w:bidi="ar-SA"/>
        </w:rPr>
        <w:t>内部控制制度</w:t>
      </w:r>
      <w:r>
        <w:rPr>
          <w:rFonts w:hint="eastAsia" w:cs="Times New Roman"/>
          <w:b w:val="0"/>
          <w:bCs w:val="0"/>
          <w:kern w:val="2"/>
          <w:sz w:val="28"/>
          <w:szCs w:val="28"/>
          <w:highlight w:val="none"/>
          <w:lang w:val="en-US" w:eastAsia="zh-CN" w:bidi="ar-SA"/>
        </w:rPr>
        <w:t>》《</w:t>
      </w:r>
      <w:r>
        <w:rPr>
          <w:rFonts w:hint="eastAsia" w:cs="Times New Roman"/>
          <w:b w:val="0"/>
          <w:bCs w:val="0"/>
          <w:kern w:val="2"/>
          <w:sz w:val="28"/>
          <w:szCs w:val="28"/>
          <w:highlight w:val="none"/>
          <w:u w:val="none"/>
          <w:lang w:val="en-US" w:eastAsia="zh-CN" w:bidi="ar-SA"/>
        </w:rPr>
        <w:t>固定资产内部管理制度</w:t>
      </w:r>
      <w:r>
        <w:rPr>
          <w:rFonts w:hint="eastAsia" w:cs="Times New Roman"/>
          <w:b w:val="0"/>
          <w:bCs w:val="0"/>
          <w:kern w:val="2"/>
          <w:sz w:val="28"/>
          <w:szCs w:val="28"/>
          <w:highlight w:val="none"/>
          <w:lang w:val="en-US" w:eastAsia="zh-CN" w:bidi="ar-SA"/>
        </w:rPr>
        <w:t>》《培训费管理制度》《精神文明创建工作制度》《票据的管理制度》《会议费管理制度》，明确了编制预算、内控机制、经费控制、审批程序、报销程序、非税收入管理、资产管理等管理规定，基本做到合法、合规、完整。依据评分标准，管理制度健全且合法合规完整得4分；该指标权重4分，得分4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（2）B1-2财务管理有效性</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本次现场评价工作中，我们对临猗县老干部局2020年度报表、账簿、凭证进行了审核。</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资金的使用基本符合财务管理制度的规定；但存在以下问题：①2020年3月31日10#凭证，其他交通费用列支5,000.00元，后附票据为已作废长条客运票；②2020年9月30日8#凭证，列支老年书画协会经费5,000.00元，后附票据为电脑维修，实际业务内容与票据内容不符。③2020年11月30日20#凭证，项目支出-老干部体检费共列支27,035.20元，共体检75人，包括老干部局职工12人，县团级离退休干部35人，</w:t>
      </w:r>
      <w:r>
        <w:rPr>
          <w:rFonts w:hint="eastAsia" w:ascii="仿宋" w:hAnsi="仿宋" w:eastAsia="仿宋" w:cs="仿宋"/>
          <w:b w:val="0"/>
          <w:bCs w:val="0"/>
          <w:kern w:val="0"/>
          <w:sz w:val="28"/>
          <w:szCs w:val="28"/>
          <w:highlight w:val="none"/>
          <w:lang w:val="en-US" w:eastAsia="zh-CN"/>
        </w:rPr>
        <w:t>正能量先进个人老干部</w:t>
      </w:r>
      <w:r>
        <w:rPr>
          <w:rFonts w:hint="eastAsia" w:cs="Times New Roman"/>
          <w:b w:val="0"/>
          <w:bCs w:val="0"/>
          <w:kern w:val="2"/>
          <w:sz w:val="28"/>
          <w:szCs w:val="28"/>
          <w:highlight w:val="none"/>
          <w:lang w:val="en-US" w:eastAsia="zh-CN" w:bidi="ar-SA"/>
        </w:rPr>
        <w:t>28人；其中老干部特需费支26,734.00元，老年音乐舞蹈协会经费支5.2元，老干部帮扶基金支192.00元，老干部支部活动经费支45.00元，日常公用经费支59.00元；问题为：项目支出体检费不应支出本部门职工的体检费，体检费支出不应挪用其他项目经费。依据评分标准，临猗县老干部局资金拨付有完整的审批程序和手续，大额支出能够经过集体决议，但未能严格按照《财务管理制度》执行，该指标权重4分，得分2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3.B3资产管理，权重10分，得分7.74分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ascii="仿宋_GB2312" w:hAnsi="Times New Roman" w:eastAsia="仿宋_GB2312"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（1）</w:t>
      </w:r>
      <w:r>
        <w:rPr>
          <w:rFonts w:hint="default" w:ascii="仿宋_GB2312" w:hAnsi="Times New Roman" w:eastAsia="仿宋_GB2312" w:cs="Times New Roman"/>
          <w:b/>
          <w:bCs/>
          <w:kern w:val="2"/>
          <w:sz w:val="28"/>
          <w:szCs w:val="28"/>
          <w:highlight w:val="none"/>
          <w:lang w:val="en-US" w:eastAsia="zh-CN" w:bidi="ar-SA"/>
        </w:rPr>
        <w:t>B</w:t>
      </w:r>
      <w:r>
        <w:rPr>
          <w:rFonts w:hint="eastAsia" w:hAnsi="Times New Roman" w:cs="Times New Roman"/>
          <w:b/>
          <w:bCs/>
          <w:kern w:val="2"/>
          <w:sz w:val="28"/>
          <w:szCs w:val="28"/>
          <w:highlight w:val="none"/>
          <w:lang w:val="en-US" w:eastAsia="zh-CN" w:bidi="ar-SA"/>
        </w:rPr>
        <w:t>3</w:t>
      </w:r>
      <w:r>
        <w:rPr>
          <w:rFonts w:hint="default" w:ascii="仿宋_GB2312" w:hAnsi="Times New Roman" w:eastAsia="仿宋_GB2312" w:cs="Times New Roman"/>
          <w:b/>
          <w:bCs/>
          <w:kern w:val="2"/>
          <w:sz w:val="28"/>
          <w:szCs w:val="28"/>
          <w:highlight w:val="none"/>
          <w:lang w:val="en-US" w:eastAsia="zh-CN" w:bidi="ar-SA"/>
        </w:rPr>
        <w:t>-1</w:t>
      </w:r>
      <w:r>
        <w:rPr>
          <w:rFonts w:hint="eastAsia" w:hAnsi="Times New Roman" w:cs="Times New Roman"/>
          <w:b/>
          <w:bCs/>
          <w:kern w:val="2"/>
          <w:sz w:val="28"/>
          <w:szCs w:val="28"/>
          <w:highlight w:val="none"/>
          <w:lang w:val="en-US" w:eastAsia="zh-CN" w:bidi="ar-SA"/>
        </w:rPr>
        <w:t>资产管理规范性</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①临猗县老干部局制定了资产管理制度，管理制度对固定资产</w:t>
      </w:r>
      <w:r>
        <w:rPr>
          <w:rFonts w:hint="default" w:cs="Times New Roman"/>
          <w:b w:val="0"/>
          <w:bCs w:val="0"/>
          <w:kern w:val="2"/>
          <w:sz w:val="28"/>
          <w:szCs w:val="28"/>
          <w:highlight w:val="none"/>
          <w:lang w:val="en-US" w:eastAsia="zh-CN" w:bidi="ar-SA"/>
        </w:rPr>
        <w:t>管理部门、使用责任、移交管理、资产盘点、减损处理等进行</w:t>
      </w:r>
      <w:r>
        <w:rPr>
          <w:rFonts w:hint="eastAsia" w:cs="Times New Roman"/>
          <w:b w:val="0"/>
          <w:bCs w:val="0"/>
          <w:kern w:val="2"/>
          <w:sz w:val="28"/>
          <w:szCs w:val="28"/>
          <w:highlight w:val="none"/>
          <w:lang w:val="en-US" w:eastAsia="zh-CN" w:bidi="ar-SA"/>
        </w:rPr>
        <w:t>了</w:t>
      </w:r>
      <w:r>
        <w:rPr>
          <w:rFonts w:hint="default" w:cs="Times New Roman"/>
          <w:b w:val="0"/>
          <w:bCs w:val="0"/>
          <w:kern w:val="2"/>
          <w:sz w:val="28"/>
          <w:szCs w:val="28"/>
          <w:highlight w:val="none"/>
          <w:lang w:val="en-US" w:eastAsia="zh-CN" w:bidi="ar-SA"/>
        </w:rPr>
        <w:t>规定</w:t>
      </w:r>
      <w:r>
        <w:rPr>
          <w:rFonts w:hint="eastAsia" w:cs="Times New Roman"/>
          <w:b w:val="0"/>
          <w:bCs w:val="0"/>
          <w:kern w:val="2"/>
          <w:sz w:val="28"/>
          <w:szCs w:val="28"/>
          <w:highlight w:val="none"/>
          <w:lang w:val="en-US" w:eastAsia="zh-CN" w:bidi="ar-SA"/>
        </w:rPr>
        <w:t>。依据评分标准，资产管理制度合法合规完整且执行的得3分；该指标权重3分，得分3分。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②截至2020年末，临猗县老干部局固定资产共计1,919,130.37 元，无形资产1元。其中：账面2000年12月份有1辆轿车（晋M28086）143,600.00元，已在以前年度处置，目前已无该实物，未做下账处理，且处置收入未上缴。 依据评分标准，固定资产保存完整、处置规范，固定资产账务管理合规，帐实相符，资产有偿使用及处置收入及时足额上缴，得2分，否则不得分；综上，该指标权重2分，得分0分。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 xml:space="preserve"> ③2020年临猗县老干部局共购置办公设备10,920.00元，未超过《中央行政单位通用办公设备家具配置标准》、《山西省财政厅关于行政单位资产配置标准》及《临猗县行政单位资产配置标准》文件中办公设备购置要求，详见表4-2-3。通过核实，临猗县老干部局购置办公设备数量配置符合单位编制内实有人数设置标准，通过查看固定资产卡片台账，临猗县老干部局上次购置办公桌椅时间为2008年10月，已超过最低年限标准。依据评分标准，部门购置固定资产单价、数量符合标准的得2分；该指标权重2分，得分2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jc w:val="center"/>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表4-2-3 临猗县老干部局2020年办公设备购置清单</w:t>
      </w:r>
    </w:p>
    <w:tbl>
      <w:tblPr>
        <w:tblStyle w:val="8"/>
        <w:tblW w:w="9420" w:type="dxa"/>
        <w:tblInd w:w="-4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2323"/>
        <w:gridCol w:w="1209"/>
        <w:gridCol w:w="1183"/>
        <w:gridCol w:w="1251"/>
        <w:gridCol w:w="926"/>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68" w:type="dxa"/>
            <w:shd w:val="clear" w:color="auto" w:fill="BEBEBE" w:themeFill="background1" w:themeFillShade="BF"/>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名称</w:t>
            </w:r>
          </w:p>
        </w:tc>
        <w:tc>
          <w:tcPr>
            <w:tcW w:w="2323" w:type="dxa"/>
            <w:shd w:val="clear" w:color="auto" w:fill="BEBEBE" w:themeFill="background1" w:themeFillShade="BF"/>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单价标准（山西省）</w:t>
            </w:r>
          </w:p>
        </w:tc>
        <w:tc>
          <w:tcPr>
            <w:tcW w:w="1209" w:type="dxa"/>
            <w:shd w:val="clear" w:color="auto" w:fill="BEBEBE" w:themeFill="background1" w:themeFillShade="BF"/>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单价</w:t>
            </w:r>
          </w:p>
        </w:tc>
        <w:tc>
          <w:tcPr>
            <w:tcW w:w="1183" w:type="dxa"/>
            <w:shd w:val="clear" w:color="auto" w:fill="BEBEBE" w:themeFill="background1" w:themeFillShade="BF"/>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数量标准</w:t>
            </w:r>
          </w:p>
        </w:tc>
        <w:tc>
          <w:tcPr>
            <w:tcW w:w="1251" w:type="dxa"/>
            <w:shd w:val="clear" w:color="auto" w:fill="BEBEBE" w:themeFill="background1" w:themeFillShade="BF"/>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年限标准</w:t>
            </w:r>
          </w:p>
        </w:tc>
        <w:tc>
          <w:tcPr>
            <w:tcW w:w="926" w:type="dxa"/>
            <w:shd w:val="clear" w:color="auto" w:fill="BEBEBE" w:themeFill="background1" w:themeFillShade="BF"/>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数量</w:t>
            </w:r>
          </w:p>
        </w:tc>
        <w:tc>
          <w:tcPr>
            <w:tcW w:w="1560" w:type="dxa"/>
            <w:shd w:val="clear" w:color="auto" w:fill="BEBEBE" w:themeFill="background1" w:themeFillShade="BF"/>
            <w:vAlign w:val="top"/>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kern w:val="2"/>
                <w:sz w:val="24"/>
                <w:szCs w:val="24"/>
                <w:highlight w:val="none"/>
                <w:vertAlign w:val="baseline"/>
                <w:lang w:val="en-US" w:eastAsia="zh-CN" w:bidi="ar-SA"/>
              </w:rPr>
            </w:pPr>
            <w:r>
              <w:rPr>
                <w:rFonts w:hint="eastAsia" w:ascii="仿宋" w:hAnsi="仿宋" w:eastAsia="仿宋" w:cs="仿宋"/>
                <w:b/>
                <w:bCs/>
                <w:kern w:val="2"/>
                <w:sz w:val="24"/>
                <w:szCs w:val="24"/>
                <w:highlight w:val="none"/>
                <w:vertAlign w:val="baseline"/>
                <w:lang w:val="en-US" w:eastAsia="zh-CN" w:bidi="ar-SA"/>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办公椅</w:t>
            </w:r>
          </w:p>
        </w:tc>
        <w:tc>
          <w:tcPr>
            <w:tcW w:w="2323"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处级以下1000元/把</w:t>
            </w:r>
          </w:p>
        </w:tc>
        <w:tc>
          <w:tcPr>
            <w:tcW w:w="1209"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580</w:t>
            </w:r>
          </w:p>
        </w:tc>
        <w:tc>
          <w:tcPr>
            <w:tcW w:w="1183"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1把/人</w:t>
            </w:r>
          </w:p>
        </w:tc>
        <w:tc>
          <w:tcPr>
            <w:tcW w:w="1251"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10年以上</w:t>
            </w:r>
          </w:p>
        </w:tc>
        <w:tc>
          <w:tcPr>
            <w:tcW w:w="926"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7</w:t>
            </w:r>
          </w:p>
        </w:tc>
        <w:tc>
          <w:tcPr>
            <w:tcW w:w="1560"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4,060.00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活动柜</w:t>
            </w:r>
          </w:p>
        </w:tc>
        <w:tc>
          <w:tcPr>
            <w:tcW w:w="2323"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处级以下1000元/组</w:t>
            </w:r>
          </w:p>
        </w:tc>
        <w:tc>
          <w:tcPr>
            <w:tcW w:w="1209"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290</w:t>
            </w:r>
          </w:p>
        </w:tc>
        <w:tc>
          <w:tcPr>
            <w:tcW w:w="1183"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按需配备</w:t>
            </w:r>
          </w:p>
        </w:tc>
        <w:tc>
          <w:tcPr>
            <w:tcW w:w="1251"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10年以上</w:t>
            </w:r>
          </w:p>
        </w:tc>
        <w:tc>
          <w:tcPr>
            <w:tcW w:w="926"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7</w:t>
            </w:r>
          </w:p>
        </w:tc>
        <w:tc>
          <w:tcPr>
            <w:tcW w:w="1560"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2,030.00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dxa"/>
          </w:tcPr>
          <w:p>
            <w:pPr>
              <w:pStyle w:val="2"/>
              <w:keepNext w:val="0"/>
              <w:keepLines w:val="0"/>
              <w:pageBreakBefore w:val="0"/>
              <w:widowControl w:val="0"/>
              <w:kinsoku/>
              <w:wordWrap/>
              <w:overflowPunct/>
              <w:topLinePunct w:val="0"/>
              <w:autoSpaceDE/>
              <w:autoSpaceDN/>
              <w:bidi w:val="0"/>
              <w:adjustRightInd/>
              <w:snapToGrid/>
              <w:spacing w:line="580" w:lineRule="exact"/>
              <w:jc w:val="left"/>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办公桌</w:t>
            </w:r>
          </w:p>
        </w:tc>
        <w:tc>
          <w:tcPr>
            <w:tcW w:w="2323"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处级以下2000元/组</w:t>
            </w:r>
          </w:p>
        </w:tc>
        <w:tc>
          <w:tcPr>
            <w:tcW w:w="1209"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690</w:t>
            </w:r>
          </w:p>
        </w:tc>
        <w:tc>
          <w:tcPr>
            <w:tcW w:w="1183"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1张/人</w:t>
            </w:r>
          </w:p>
        </w:tc>
        <w:tc>
          <w:tcPr>
            <w:tcW w:w="1251"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10年以上</w:t>
            </w:r>
          </w:p>
        </w:tc>
        <w:tc>
          <w:tcPr>
            <w:tcW w:w="926"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7</w:t>
            </w:r>
          </w:p>
        </w:tc>
        <w:tc>
          <w:tcPr>
            <w:tcW w:w="1560"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4,830.00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1" w:type="dxa"/>
            <w:gridSpan w:val="2"/>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合计</w:t>
            </w:r>
          </w:p>
        </w:tc>
        <w:tc>
          <w:tcPr>
            <w:tcW w:w="1209"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1,560.00</w:t>
            </w:r>
          </w:p>
        </w:tc>
        <w:tc>
          <w:tcPr>
            <w:tcW w:w="1183"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1251"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 w:hAnsi="仿宋" w:eastAsia="仿宋" w:cs="仿宋"/>
                <w:b w:val="0"/>
                <w:bCs w:val="0"/>
                <w:kern w:val="2"/>
                <w:sz w:val="24"/>
                <w:szCs w:val="24"/>
                <w:highlight w:val="none"/>
                <w:vertAlign w:val="baseline"/>
                <w:lang w:val="en-US" w:eastAsia="zh-CN" w:bidi="ar-SA"/>
              </w:rPr>
            </w:pPr>
          </w:p>
        </w:tc>
        <w:tc>
          <w:tcPr>
            <w:tcW w:w="926"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21</w:t>
            </w:r>
          </w:p>
        </w:tc>
        <w:tc>
          <w:tcPr>
            <w:tcW w:w="1560"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ascii="仿宋" w:hAnsi="仿宋" w:eastAsia="仿宋" w:cs="仿宋"/>
                <w:b w:val="0"/>
                <w:bCs w:val="0"/>
                <w:kern w:val="2"/>
                <w:sz w:val="24"/>
                <w:szCs w:val="24"/>
                <w:highlight w:val="none"/>
                <w:vertAlign w:val="baseline"/>
                <w:lang w:val="en-US" w:eastAsia="zh-CN" w:bidi="ar-SA"/>
              </w:rPr>
            </w:pPr>
            <w:r>
              <w:rPr>
                <w:rFonts w:hint="eastAsia" w:ascii="仿宋" w:hAnsi="仿宋" w:eastAsia="仿宋" w:cs="仿宋"/>
                <w:b w:val="0"/>
                <w:bCs w:val="0"/>
                <w:kern w:val="2"/>
                <w:sz w:val="24"/>
                <w:szCs w:val="24"/>
                <w:highlight w:val="none"/>
                <w:vertAlign w:val="baseline"/>
                <w:lang w:val="en-US" w:eastAsia="zh-CN" w:bidi="ar-SA"/>
              </w:rPr>
              <w:t>10,920.00</w:t>
            </w:r>
          </w:p>
        </w:tc>
      </w:tr>
    </w:tbl>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ascii="仿宋_GB2312" w:hAnsi="Times New Roman" w:eastAsia="仿宋_GB2312"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（2）</w:t>
      </w:r>
      <w:r>
        <w:rPr>
          <w:rFonts w:hint="default" w:ascii="仿宋_GB2312" w:hAnsi="Times New Roman" w:eastAsia="仿宋_GB2312" w:cs="Times New Roman"/>
          <w:b/>
          <w:bCs/>
          <w:kern w:val="2"/>
          <w:sz w:val="28"/>
          <w:szCs w:val="28"/>
          <w:highlight w:val="none"/>
          <w:lang w:val="en-US" w:eastAsia="zh-CN" w:bidi="ar-SA"/>
        </w:rPr>
        <w:t>B</w:t>
      </w:r>
      <w:r>
        <w:rPr>
          <w:rFonts w:hint="eastAsia" w:hAnsi="Times New Roman" w:cs="Times New Roman"/>
          <w:b/>
          <w:bCs/>
          <w:kern w:val="2"/>
          <w:sz w:val="28"/>
          <w:szCs w:val="28"/>
          <w:highlight w:val="none"/>
          <w:lang w:val="en-US" w:eastAsia="zh-CN" w:bidi="ar-SA"/>
        </w:rPr>
        <w:t>3</w:t>
      </w:r>
      <w:r>
        <w:rPr>
          <w:rFonts w:hint="default" w:ascii="仿宋_GB2312" w:hAnsi="Times New Roman" w:eastAsia="仿宋_GB2312" w:cs="Times New Roman"/>
          <w:b/>
          <w:bCs/>
          <w:kern w:val="2"/>
          <w:sz w:val="28"/>
          <w:szCs w:val="28"/>
          <w:highlight w:val="none"/>
          <w:lang w:val="en-US" w:eastAsia="zh-CN" w:bidi="ar-SA"/>
        </w:rPr>
        <w:t>-</w:t>
      </w:r>
      <w:r>
        <w:rPr>
          <w:rFonts w:hint="eastAsia" w:hAnsi="Times New Roman" w:cs="Times New Roman"/>
          <w:b/>
          <w:bCs/>
          <w:kern w:val="2"/>
          <w:sz w:val="28"/>
          <w:szCs w:val="28"/>
          <w:highlight w:val="none"/>
          <w:lang w:val="en-US" w:eastAsia="zh-CN" w:bidi="ar-SA"/>
        </w:rPr>
        <w:t>2固定资产利用率</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截至2020年末，临猗县老干部局固定资产1,919,130.37元，无形资产1元。临猗县老干部局固定资产待报废资产有2项，金额22,598.00元，为2008年8月购置电脑15,000.00元，2010年7月购置电脑7,598.00元。</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实际在用固定资产总额=账面资产-待处理资产-未使用资产=1,919,130.37元-22,598.00元-143,600.00元=1,752,932.37元；</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固定资产利用率=（实际在用固定资产总额/所有固定资产总额）×100%=（1,752,932.37元/1,919,130.37元）×100%=91.34%。</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依据评分标准，固定资产利用率在80%-100%之间的按照比例得分；该指标权重3分，得分2.74分。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4.B4其他管理，权重4分，得分2.5分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ascii="仿宋_GB2312" w:hAnsi="Times New Roman" w:eastAsia="仿宋_GB2312"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（1）</w:t>
      </w:r>
      <w:r>
        <w:rPr>
          <w:rFonts w:hint="default" w:ascii="仿宋_GB2312" w:hAnsi="Times New Roman" w:eastAsia="仿宋_GB2312" w:cs="Times New Roman"/>
          <w:b/>
          <w:bCs/>
          <w:kern w:val="2"/>
          <w:sz w:val="28"/>
          <w:szCs w:val="28"/>
          <w:highlight w:val="none"/>
          <w:lang w:val="en-US" w:eastAsia="zh-CN" w:bidi="ar-SA"/>
        </w:rPr>
        <w:t>B</w:t>
      </w:r>
      <w:r>
        <w:rPr>
          <w:rFonts w:hint="eastAsia" w:hAnsi="Times New Roman" w:cs="Times New Roman"/>
          <w:b/>
          <w:bCs/>
          <w:kern w:val="2"/>
          <w:sz w:val="28"/>
          <w:szCs w:val="28"/>
          <w:highlight w:val="none"/>
          <w:lang w:val="en-US" w:eastAsia="zh-CN" w:bidi="ar-SA"/>
        </w:rPr>
        <w:t>4</w:t>
      </w:r>
      <w:r>
        <w:rPr>
          <w:rFonts w:hint="default" w:ascii="仿宋_GB2312" w:hAnsi="Times New Roman" w:eastAsia="仿宋_GB2312" w:cs="Times New Roman"/>
          <w:b/>
          <w:bCs/>
          <w:kern w:val="2"/>
          <w:sz w:val="28"/>
          <w:szCs w:val="28"/>
          <w:highlight w:val="none"/>
          <w:lang w:val="en-US" w:eastAsia="zh-CN" w:bidi="ar-SA"/>
        </w:rPr>
        <w:t>-1</w:t>
      </w:r>
      <w:r>
        <w:rPr>
          <w:rFonts w:hint="eastAsia" w:hAnsi="Times New Roman" w:cs="Times New Roman"/>
          <w:b/>
          <w:bCs/>
          <w:kern w:val="2"/>
          <w:sz w:val="28"/>
          <w:szCs w:val="28"/>
          <w:highlight w:val="none"/>
          <w:lang w:val="en-US" w:eastAsia="zh-CN" w:bidi="ar-SA"/>
        </w:rPr>
        <w:t>政府采购管理</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临猗县老干部局2020</w:t>
      </w:r>
      <w:r>
        <w:rPr>
          <w:rFonts w:hint="default" w:cs="Times New Roman"/>
          <w:b w:val="0"/>
          <w:bCs w:val="0"/>
          <w:kern w:val="2"/>
          <w:sz w:val="28"/>
          <w:szCs w:val="28"/>
          <w:highlight w:val="none"/>
          <w:lang w:val="en-US" w:eastAsia="zh-CN" w:bidi="ar-SA"/>
        </w:rPr>
        <w:t>年度共备案政府采购项目</w:t>
      </w:r>
      <w:r>
        <w:rPr>
          <w:rFonts w:hint="eastAsia" w:cs="Times New Roman"/>
          <w:b w:val="0"/>
          <w:bCs w:val="0"/>
          <w:kern w:val="2"/>
          <w:sz w:val="28"/>
          <w:szCs w:val="28"/>
          <w:highlight w:val="none"/>
          <w:lang w:val="en-US" w:eastAsia="zh-CN" w:bidi="ar-SA"/>
        </w:rPr>
        <w:t>3项</w:t>
      </w:r>
      <w:r>
        <w:rPr>
          <w:rFonts w:hint="default" w:cs="Times New Roman"/>
          <w:b w:val="0"/>
          <w:bCs w:val="0"/>
          <w:kern w:val="2"/>
          <w:sz w:val="28"/>
          <w:szCs w:val="28"/>
          <w:highlight w:val="none"/>
          <w:lang w:val="en-US" w:eastAsia="zh-CN" w:bidi="ar-SA"/>
        </w:rPr>
        <w:t>，</w:t>
      </w:r>
      <w:r>
        <w:rPr>
          <w:rFonts w:hint="eastAsia" w:cs="Times New Roman"/>
          <w:b w:val="0"/>
          <w:bCs w:val="0"/>
          <w:kern w:val="2"/>
          <w:sz w:val="28"/>
          <w:szCs w:val="28"/>
          <w:highlight w:val="none"/>
          <w:lang w:val="en-US" w:eastAsia="zh-CN" w:bidi="ar-SA"/>
        </w:rPr>
        <w:t>预算资金270,506.00元，</w:t>
      </w:r>
      <w:r>
        <w:rPr>
          <w:rFonts w:hint="default" w:cs="Times New Roman"/>
          <w:b w:val="0"/>
          <w:bCs w:val="0"/>
          <w:kern w:val="2"/>
          <w:sz w:val="28"/>
          <w:szCs w:val="28"/>
          <w:highlight w:val="none"/>
          <w:lang w:val="en-US" w:eastAsia="zh-CN" w:bidi="ar-SA"/>
        </w:rPr>
        <w:t>实际完成政府采购项目</w:t>
      </w:r>
      <w:r>
        <w:rPr>
          <w:rFonts w:hint="eastAsia" w:cs="Times New Roman"/>
          <w:b w:val="0"/>
          <w:bCs w:val="0"/>
          <w:kern w:val="2"/>
          <w:sz w:val="28"/>
          <w:szCs w:val="28"/>
          <w:highlight w:val="none"/>
          <w:lang w:val="en-US" w:eastAsia="zh-CN" w:bidi="ar-SA"/>
        </w:rPr>
        <w:t>3项</w:t>
      </w:r>
      <w:r>
        <w:rPr>
          <w:rFonts w:hint="default" w:cs="Times New Roman"/>
          <w:b w:val="0"/>
          <w:bCs w:val="0"/>
          <w:kern w:val="2"/>
          <w:sz w:val="28"/>
          <w:szCs w:val="28"/>
          <w:highlight w:val="none"/>
          <w:lang w:val="en-US" w:eastAsia="zh-CN" w:bidi="ar-SA"/>
        </w:rPr>
        <w:t>，</w:t>
      </w:r>
      <w:r>
        <w:rPr>
          <w:rFonts w:hint="eastAsia" w:cs="Times New Roman"/>
          <w:b w:val="0"/>
          <w:bCs w:val="0"/>
          <w:kern w:val="2"/>
          <w:sz w:val="28"/>
          <w:szCs w:val="28"/>
          <w:highlight w:val="none"/>
          <w:lang w:val="en-US" w:eastAsia="zh-CN" w:bidi="ar-SA"/>
        </w:rPr>
        <w:t>支出270,506.00元；</w:t>
      </w:r>
      <w:r>
        <w:rPr>
          <w:rFonts w:hint="default" w:cs="Times New Roman"/>
          <w:b w:val="0"/>
          <w:bCs w:val="0"/>
          <w:kern w:val="2"/>
          <w:sz w:val="28"/>
          <w:szCs w:val="28"/>
          <w:highlight w:val="none"/>
          <w:lang w:val="en-US" w:eastAsia="zh-CN" w:bidi="ar-SA"/>
        </w:rPr>
        <w:t>政府采购执行率100%，该指标</w:t>
      </w:r>
      <w:r>
        <w:rPr>
          <w:rFonts w:hint="eastAsia" w:cs="Times New Roman"/>
          <w:b w:val="0"/>
          <w:bCs w:val="0"/>
          <w:kern w:val="2"/>
          <w:sz w:val="28"/>
          <w:szCs w:val="28"/>
          <w:highlight w:val="none"/>
          <w:lang w:val="en-US" w:eastAsia="zh-CN" w:bidi="ar-SA"/>
        </w:rPr>
        <w:t>权重2分，得分2分。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ascii="仿宋_GB2312" w:hAnsi="Times New Roman" w:eastAsia="仿宋_GB2312"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（2）</w:t>
      </w:r>
      <w:r>
        <w:rPr>
          <w:rFonts w:hint="default" w:ascii="仿宋_GB2312" w:hAnsi="Times New Roman" w:eastAsia="仿宋_GB2312" w:cs="Times New Roman"/>
          <w:b/>
          <w:bCs/>
          <w:kern w:val="2"/>
          <w:sz w:val="28"/>
          <w:szCs w:val="28"/>
          <w:highlight w:val="none"/>
          <w:lang w:val="en-US" w:eastAsia="zh-CN" w:bidi="ar-SA"/>
        </w:rPr>
        <w:t>B</w:t>
      </w:r>
      <w:r>
        <w:rPr>
          <w:rFonts w:hint="eastAsia" w:hAnsi="Times New Roman" w:cs="Times New Roman"/>
          <w:b/>
          <w:bCs/>
          <w:kern w:val="2"/>
          <w:sz w:val="28"/>
          <w:szCs w:val="28"/>
          <w:highlight w:val="none"/>
          <w:lang w:val="en-US" w:eastAsia="zh-CN" w:bidi="ar-SA"/>
        </w:rPr>
        <w:t>4</w:t>
      </w:r>
      <w:r>
        <w:rPr>
          <w:rFonts w:hint="default" w:ascii="仿宋_GB2312" w:hAnsi="Times New Roman" w:eastAsia="仿宋_GB2312" w:cs="Times New Roman"/>
          <w:b/>
          <w:bCs/>
          <w:kern w:val="2"/>
          <w:sz w:val="28"/>
          <w:szCs w:val="28"/>
          <w:highlight w:val="none"/>
          <w:lang w:val="en-US" w:eastAsia="zh-CN" w:bidi="ar-SA"/>
        </w:rPr>
        <w:t>-</w:t>
      </w:r>
      <w:r>
        <w:rPr>
          <w:rFonts w:hint="eastAsia" w:hAnsi="Times New Roman" w:cs="Times New Roman"/>
          <w:b/>
          <w:bCs/>
          <w:kern w:val="2"/>
          <w:sz w:val="28"/>
          <w:szCs w:val="28"/>
          <w:highlight w:val="none"/>
          <w:lang w:val="en-US" w:eastAsia="zh-CN" w:bidi="ar-SA"/>
        </w:rPr>
        <w:t>2预算信息公开</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临猗县老干部局已根据相关规定在临猗县政府网站公开了2020年度预算信息；截至2021年10月10日，未见公示2020年部门决算信息。该指标权重1分，得分0.5分。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ascii="仿宋_GB2312" w:hAnsi="Times New Roman" w:eastAsia="仿宋_GB2312"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（3）</w:t>
      </w:r>
      <w:r>
        <w:rPr>
          <w:rFonts w:hint="default" w:ascii="仿宋_GB2312" w:hAnsi="Times New Roman" w:eastAsia="仿宋_GB2312" w:cs="Times New Roman"/>
          <w:b/>
          <w:bCs/>
          <w:kern w:val="2"/>
          <w:sz w:val="28"/>
          <w:szCs w:val="28"/>
          <w:highlight w:val="none"/>
          <w:lang w:val="en-US" w:eastAsia="zh-CN" w:bidi="ar-SA"/>
        </w:rPr>
        <w:t>B</w:t>
      </w:r>
      <w:r>
        <w:rPr>
          <w:rFonts w:hint="eastAsia" w:hAnsi="Times New Roman" w:cs="Times New Roman"/>
          <w:b/>
          <w:bCs/>
          <w:kern w:val="2"/>
          <w:sz w:val="28"/>
          <w:szCs w:val="28"/>
          <w:highlight w:val="none"/>
          <w:lang w:val="en-US" w:eastAsia="zh-CN" w:bidi="ar-SA"/>
        </w:rPr>
        <w:t>4</w:t>
      </w:r>
      <w:r>
        <w:rPr>
          <w:rFonts w:hint="default" w:ascii="仿宋_GB2312" w:hAnsi="Times New Roman" w:eastAsia="仿宋_GB2312" w:cs="Times New Roman"/>
          <w:b/>
          <w:bCs/>
          <w:kern w:val="2"/>
          <w:sz w:val="28"/>
          <w:szCs w:val="28"/>
          <w:highlight w:val="none"/>
          <w:lang w:val="en-US" w:eastAsia="zh-CN" w:bidi="ar-SA"/>
        </w:rPr>
        <w:t>-</w:t>
      </w:r>
      <w:r>
        <w:rPr>
          <w:rFonts w:hint="eastAsia" w:hAnsi="Times New Roman" w:cs="Times New Roman"/>
          <w:b/>
          <w:bCs/>
          <w:kern w:val="2"/>
          <w:sz w:val="28"/>
          <w:szCs w:val="28"/>
          <w:highlight w:val="none"/>
          <w:lang w:val="en-US" w:eastAsia="zh-CN" w:bidi="ar-SA"/>
        </w:rPr>
        <w:t>3基础信息完善性</w:t>
      </w:r>
    </w:p>
    <w:p>
      <w:pPr>
        <w:pStyle w:val="2"/>
        <w:ind w:firstLine="560" w:firstLineChars="200"/>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临猗县老干部局</w:t>
      </w:r>
      <w:r>
        <w:rPr>
          <w:rFonts w:hint="default" w:cs="Times New Roman"/>
          <w:b w:val="0"/>
          <w:bCs w:val="0"/>
          <w:kern w:val="2"/>
          <w:sz w:val="28"/>
          <w:szCs w:val="28"/>
          <w:highlight w:val="none"/>
          <w:lang w:val="en-US" w:eastAsia="zh-CN" w:bidi="ar-SA"/>
        </w:rPr>
        <w:t>编制了20</w:t>
      </w:r>
      <w:r>
        <w:rPr>
          <w:rFonts w:hint="eastAsia" w:cs="Times New Roman"/>
          <w:b w:val="0"/>
          <w:bCs w:val="0"/>
          <w:kern w:val="2"/>
          <w:sz w:val="28"/>
          <w:szCs w:val="28"/>
          <w:highlight w:val="none"/>
          <w:lang w:val="en-US" w:eastAsia="zh-CN" w:bidi="ar-SA"/>
        </w:rPr>
        <w:t>20</w:t>
      </w:r>
      <w:r>
        <w:rPr>
          <w:rFonts w:hint="default" w:cs="Times New Roman"/>
          <w:b w:val="0"/>
          <w:bCs w:val="0"/>
          <w:kern w:val="2"/>
          <w:sz w:val="28"/>
          <w:szCs w:val="28"/>
          <w:highlight w:val="none"/>
          <w:lang w:val="en-US" w:eastAsia="zh-CN" w:bidi="ar-SA"/>
        </w:rPr>
        <w:t>年度财务预决算收支表</w:t>
      </w:r>
      <w:r>
        <w:rPr>
          <w:rFonts w:hint="eastAsia" w:cs="Times New Roman"/>
          <w:b w:val="0"/>
          <w:bCs w:val="0"/>
          <w:kern w:val="2"/>
          <w:sz w:val="28"/>
          <w:szCs w:val="28"/>
          <w:highlight w:val="none"/>
          <w:lang w:val="en-US" w:eastAsia="zh-CN" w:bidi="ar-SA"/>
        </w:rPr>
        <w:t>、</w:t>
      </w:r>
      <w:r>
        <w:rPr>
          <w:rFonts w:hint="default" w:cs="Times New Roman"/>
          <w:b w:val="0"/>
          <w:bCs w:val="0"/>
          <w:kern w:val="2"/>
          <w:sz w:val="28"/>
          <w:szCs w:val="28"/>
          <w:highlight w:val="none"/>
          <w:lang w:val="en-US" w:eastAsia="zh-CN" w:bidi="ar-SA"/>
        </w:rPr>
        <w:t>人员编制情况</w:t>
      </w:r>
      <w:r>
        <w:rPr>
          <w:rFonts w:hint="eastAsia" w:cs="Times New Roman"/>
          <w:b w:val="0"/>
          <w:bCs w:val="0"/>
          <w:kern w:val="2"/>
          <w:sz w:val="28"/>
          <w:szCs w:val="28"/>
          <w:highlight w:val="none"/>
          <w:lang w:val="en-US" w:eastAsia="zh-CN" w:bidi="ar-SA"/>
        </w:rPr>
        <w:t>、固定资产情况、“三公经费”支出等信息；其中：凭证附件信息不完整，实际业务内容与票据内容不符。依据评分标准，基础数据信息和会计信息资料真实、准确、完整得1分，否则不得分；该</w:t>
      </w:r>
      <w:r>
        <w:rPr>
          <w:rFonts w:hint="default" w:cs="Times New Roman"/>
          <w:b w:val="0"/>
          <w:bCs w:val="0"/>
          <w:kern w:val="2"/>
          <w:sz w:val="28"/>
          <w:szCs w:val="28"/>
          <w:highlight w:val="none"/>
          <w:lang w:val="en-US" w:eastAsia="zh-CN" w:bidi="ar-SA"/>
        </w:rPr>
        <w:t>指标</w:t>
      </w:r>
      <w:r>
        <w:rPr>
          <w:rFonts w:hint="eastAsia" w:cs="Times New Roman"/>
          <w:b w:val="0"/>
          <w:bCs w:val="0"/>
          <w:kern w:val="2"/>
          <w:sz w:val="28"/>
          <w:szCs w:val="28"/>
          <w:highlight w:val="none"/>
          <w:lang w:val="en-US" w:eastAsia="zh-CN" w:bidi="ar-SA"/>
        </w:rPr>
        <w:t>权重1分，</w:t>
      </w:r>
      <w:r>
        <w:rPr>
          <w:rFonts w:hint="default" w:cs="Times New Roman"/>
          <w:b w:val="0"/>
          <w:bCs w:val="0"/>
          <w:kern w:val="2"/>
          <w:sz w:val="28"/>
          <w:szCs w:val="28"/>
          <w:highlight w:val="none"/>
          <w:lang w:val="en-US" w:eastAsia="zh-CN" w:bidi="ar-SA"/>
        </w:rPr>
        <w:t>得分</w:t>
      </w:r>
      <w:r>
        <w:rPr>
          <w:rFonts w:hint="eastAsia" w:cs="Times New Roman"/>
          <w:b w:val="0"/>
          <w:bCs w:val="0"/>
          <w:kern w:val="2"/>
          <w:sz w:val="28"/>
          <w:szCs w:val="28"/>
          <w:highlight w:val="none"/>
          <w:lang w:val="en-US" w:eastAsia="zh-CN" w:bidi="ar-SA"/>
        </w:rPr>
        <w:t>0</w:t>
      </w:r>
      <w:r>
        <w:rPr>
          <w:rFonts w:hint="default" w:cs="Times New Roman"/>
          <w:b w:val="0"/>
          <w:bCs w:val="0"/>
          <w:kern w:val="2"/>
          <w:sz w:val="28"/>
          <w:szCs w:val="28"/>
          <w:highlight w:val="none"/>
          <w:lang w:val="en-US" w:eastAsia="zh-CN" w:bidi="ar-SA"/>
        </w:rPr>
        <w:t>分</w:t>
      </w:r>
      <w:r>
        <w:rPr>
          <w:rFonts w:hint="eastAsia" w:cs="Times New Roman"/>
          <w:b w:val="0"/>
          <w:bCs w:val="0"/>
          <w:kern w:val="2"/>
          <w:sz w:val="28"/>
          <w:szCs w:val="28"/>
          <w:highlight w:val="none"/>
          <w:lang w:val="en-US"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2" w:firstLineChars="200"/>
        <w:textAlignment w:val="auto"/>
        <w:outlineLvl w:val="1"/>
        <w:rPr>
          <w:rFonts w:hint="default"/>
          <w:b/>
          <w:bCs/>
          <w:sz w:val="28"/>
          <w:szCs w:val="28"/>
          <w:highlight w:val="none"/>
          <w:lang w:val="en-US" w:eastAsia="zh-CN"/>
        </w:rPr>
      </w:pPr>
      <w:r>
        <w:rPr>
          <w:rFonts w:hint="default"/>
          <w:b/>
          <w:bCs/>
          <w:sz w:val="28"/>
          <w:szCs w:val="28"/>
          <w:highlight w:val="none"/>
          <w:lang w:val="en-US" w:eastAsia="zh-CN"/>
        </w:rPr>
        <w:t>（</w:t>
      </w:r>
      <w:r>
        <w:rPr>
          <w:rFonts w:hint="eastAsia"/>
          <w:b/>
          <w:bCs/>
          <w:sz w:val="28"/>
          <w:szCs w:val="28"/>
          <w:highlight w:val="none"/>
          <w:lang w:val="en-US" w:eastAsia="zh-CN"/>
        </w:rPr>
        <w:t>三</w:t>
      </w:r>
      <w:r>
        <w:rPr>
          <w:rFonts w:hint="default"/>
          <w:b/>
          <w:bCs/>
          <w:sz w:val="28"/>
          <w:szCs w:val="28"/>
          <w:highlight w:val="none"/>
          <w:lang w:val="en-US" w:eastAsia="zh-CN"/>
        </w:rPr>
        <w:t>）</w:t>
      </w:r>
      <w:r>
        <w:rPr>
          <w:rFonts w:hint="eastAsia"/>
          <w:b/>
          <w:bCs/>
          <w:sz w:val="28"/>
          <w:szCs w:val="28"/>
          <w:highlight w:val="none"/>
          <w:lang w:val="en-US" w:eastAsia="zh-CN"/>
        </w:rPr>
        <w:t>社会效应</w:t>
      </w:r>
      <w:r>
        <w:rPr>
          <w:rFonts w:hint="default"/>
          <w:b/>
          <w:bCs/>
          <w:sz w:val="28"/>
          <w:szCs w:val="28"/>
          <w:highlight w:val="none"/>
          <w:lang w:val="en-US" w:eastAsia="zh-CN"/>
        </w:rPr>
        <w:t>分析</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仿宋_GB2312" w:hAnsi="Times New Roman" w:eastAsia="仿宋_GB2312" w:cs="Times New Roman"/>
          <w:b w:val="0"/>
          <w:bCs w:val="0"/>
          <w:kern w:val="2"/>
          <w:sz w:val="28"/>
          <w:szCs w:val="28"/>
          <w:highlight w:val="none"/>
          <w:lang w:val="en-US" w:eastAsia="zh-CN" w:bidi="ar-SA"/>
        </w:rPr>
      </w:pPr>
      <w:r>
        <w:rPr>
          <w:rFonts w:hint="eastAsia" w:ascii="仿宋_GB2312" w:eastAsia="仿宋_GB2312" w:cs="Times New Roman"/>
          <w:b w:val="0"/>
          <w:bCs w:val="0"/>
          <w:kern w:val="2"/>
          <w:sz w:val="28"/>
          <w:szCs w:val="28"/>
          <w:highlight w:val="none"/>
          <w:lang w:val="en-US" w:eastAsia="zh-CN" w:bidi="ar-SA"/>
        </w:rPr>
        <w:t>社会效应分析</w:t>
      </w:r>
      <w:r>
        <w:rPr>
          <w:rFonts w:hint="default" w:ascii="仿宋_GB2312" w:hAnsi="Times New Roman" w:eastAsia="仿宋_GB2312" w:cs="Times New Roman"/>
          <w:b w:val="0"/>
          <w:bCs w:val="0"/>
          <w:kern w:val="2"/>
          <w:sz w:val="28"/>
          <w:szCs w:val="28"/>
          <w:highlight w:val="none"/>
          <w:lang w:val="en-US" w:eastAsia="zh-CN" w:bidi="ar-SA"/>
        </w:rPr>
        <w:t>分别从</w:t>
      </w:r>
      <w:r>
        <w:rPr>
          <w:rFonts w:hint="eastAsia" w:ascii="仿宋_GB2312" w:eastAsia="仿宋_GB2312" w:cs="Times New Roman"/>
          <w:b w:val="0"/>
          <w:bCs w:val="0"/>
          <w:kern w:val="2"/>
          <w:sz w:val="28"/>
          <w:szCs w:val="28"/>
          <w:highlight w:val="none"/>
          <w:lang w:val="en-US" w:eastAsia="zh-CN" w:bidi="ar-SA"/>
        </w:rPr>
        <w:t>经济影响、社会影响、生态影响、满意度四</w:t>
      </w:r>
      <w:r>
        <w:rPr>
          <w:rFonts w:hint="default" w:ascii="仿宋_GB2312" w:hAnsi="Times New Roman" w:eastAsia="仿宋_GB2312" w:cs="Times New Roman"/>
          <w:b w:val="0"/>
          <w:bCs w:val="0"/>
          <w:kern w:val="2"/>
          <w:sz w:val="28"/>
          <w:szCs w:val="28"/>
          <w:highlight w:val="none"/>
          <w:lang w:val="en-US" w:eastAsia="zh-CN" w:bidi="ar-SA"/>
        </w:rPr>
        <w:t>个方面进行分析，共设置</w:t>
      </w:r>
      <w:r>
        <w:rPr>
          <w:rFonts w:hint="eastAsia" w:ascii="仿宋_GB2312" w:eastAsia="仿宋_GB2312" w:cs="Times New Roman"/>
          <w:b w:val="0"/>
          <w:bCs w:val="0"/>
          <w:kern w:val="2"/>
          <w:sz w:val="28"/>
          <w:szCs w:val="28"/>
          <w:highlight w:val="none"/>
          <w:lang w:val="en-US" w:eastAsia="zh-CN" w:bidi="ar-SA"/>
        </w:rPr>
        <w:t>四</w:t>
      </w:r>
      <w:r>
        <w:rPr>
          <w:rFonts w:hint="default" w:ascii="仿宋_GB2312" w:hAnsi="Times New Roman" w:eastAsia="仿宋_GB2312" w:cs="Times New Roman"/>
          <w:b w:val="0"/>
          <w:bCs w:val="0"/>
          <w:kern w:val="2"/>
          <w:sz w:val="28"/>
          <w:szCs w:val="28"/>
          <w:highlight w:val="none"/>
          <w:lang w:val="en-US" w:eastAsia="zh-CN" w:bidi="ar-SA"/>
        </w:rPr>
        <w:t>个二级指标</w:t>
      </w:r>
      <w:r>
        <w:rPr>
          <w:rFonts w:hint="eastAsia" w:ascii="仿宋_GB2312" w:eastAsia="仿宋_GB2312" w:cs="Times New Roman"/>
          <w:b w:val="0"/>
          <w:bCs w:val="0"/>
          <w:kern w:val="2"/>
          <w:sz w:val="28"/>
          <w:szCs w:val="28"/>
          <w:highlight w:val="none"/>
          <w:lang w:val="en-US" w:eastAsia="zh-CN" w:bidi="ar-SA"/>
        </w:rPr>
        <w:t>十</w:t>
      </w:r>
      <w:r>
        <w:rPr>
          <w:rFonts w:hint="default" w:ascii="仿宋_GB2312" w:hAnsi="Times New Roman" w:eastAsia="仿宋_GB2312" w:cs="Times New Roman"/>
          <w:b w:val="0"/>
          <w:bCs w:val="0"/>
          <w:kern w:val="2"/>
          <w:sz w:val="28"/>
          <w:szCs w:val="28"/>
          <w:highlight w:val="none"/>
          <w:lang w:val="en-US" w:eastAsia="zh-CN" w:bidi="ar-SA"/>
        </w:rPr>
        <w:t>个三级指标。</w:t>
      </w:r>
      <w:r>
        <w:rPr>
          <w:rFonts w:hint="eastAsia" w:ascii="仿宋_GB2312" w:eastAsia="仿宋_GB2312" w:cs="Times New Roman"/>
          <w:b w:val="0"/>
          <w:bCs w:val="0"/>
          <w:kern w:val="2"/>
          <w:sz w:val="28"/>
          <w:szCs w:val="28"/>
          <w:highlight w:val="none"/>
          <w:lang w:val="en-US" w:eastAsia="zh-CN" w:bidi="ar-SA"/>
        </w:rPr>
        <w:t>社会效应</w:t>
      </w:r>
      <w:r>
        <w:rPr>
          <w:rFonts w:hint="default" w:ascii="仿宋_GB2312" w:hAnsi="Times New Roman" w:eastAsia="仿宋_GB2312" w:cs="Times New Roman"/>
          <w:b w:val="0"/>
          <w:bCs w:val="0"/>
          <w:kern w:val="2"/>
          <w:sz w:val="28"/>
          <w:szCs w:val="28"/>
          <w:highlight w:val="none"/>
          <w:lang w:val="en-US" w:eastAsia="zh-CN" w:bidi="ar-SA"/>
        </w:rPr>
        <w:t>分值</w:t>
      </w:r>
      <w:r>
        <w:rPr>
          <w:rFonts w:hint="eastAsia" w:ascii="仿宋_GB2312" w:eastAsia="仿宋_GB2312" w:cs="Times New Roman"/>
          <w:b w:val="0"/>
          <w:bCs w:val="0"/>
          <w:kern w:val="2"/>
          <w:sz w:val="28"/>
          <w:szCs w:val="28"/>
          <w:highlight w:val="none"/>
          <w:lang w:val="en-US" w:eastAsia="zh-CN" w:bidi="ar-SA"/>
        </w:rPr>
        <w:t>20</w:t>
      </w:r>
      <w:r>
        <w:rPr>
          <w:rFonts w:hint="default" w:ascii="仿宋_GB2312" w:hAnsi="Times New Roman" w:eastAsia="仿宋_GB2312" w:cs="Times New Roman"/>
          <w:b w:val="0"/>
          <w:bCs w:val="0"/>
          <w:kern w:val="2"/>
          <w:sz w:val="28"/>
          <w:szCs w:val="28"/>
          <w:highlight w:val="none"/>
          <w:lang w:val="en-US" w:eastAsia="zh-CN" w:bidi="ar-SA"/>
        </w:rPr>
        <w:t>分，实际得分</w:t>
      </w:r>
      <w:r>
        <w:rPr>
          <w:rFonts w:hint="eastAsia" w:ascii="仿宋_GB2312" w:eastAsia="仿宋_GB2312" w:cs="Times New Roman"/>
          <w:b w:val="0"/>
          <w:bCs w:val="0"/>
          <w:kern w:val="2"/>
          <w:sz w:val="28"/>
          <w:szCs w:val="28"/>
          <w:highlight w:val="none"/>
          <w:lang w:val="en-US" w:eastAsia="zh-CN" w:bidi="ar-SA"/>
        </w:rPr>
        <w:t>18.55</w:t>
      </w:r>
      <w:r>
        <w:rPr>
          <w:rFonts w:hint="default" w:ascii="仿宋_GB2312" w:hAnsi="Times New Roman" w:eastAsia="仿宋_GB2312" w:cs="Times New Roman"/>
          <w:b w:val="0"/>
          <w:bCs w:val="0"/>
          <w:kern w:val="2"/>
          <w:sz w:val="28"/>
          <w:szCs w:val="28"/>
          <w:highlight w:val="none"/>
          <w:lang w:val="en-US" w:eastAsia="zh-CN" w:bidi="ar-SA"/>
        </w:rPr>
        <w:t>分，得分率</w:t>
      </w:r>
      <w:r>
        <w:rPr>
          <w:rFonts w:hint="eastAsia" w:ascii="仿宋_GB2312" w:hAnsi="Times New Roman" w:eastAsia="仿宋_GB2312" w:cs="Times New Roman"/>
          <w:b w:val="0"/>
          <w:bCs w:val="0"/>
          <w:kern w:val="2"/>
          <w:sz w:val="28"/>
          <w:szCs w:val="28"/>
          <w:highlight w:val="none"/>
          <w:lang w:val="en-US" w:eastAsia="zh-CN" w:bidi="ar-SA"/>
        </w:rPr>
        <w:t>92.75</w:t>
      </w:r>
      <w:r>
        <w:rPr>
          <w:rFonts w:hint="default" w:ascii="仿宋_GB2312" w:hAnsi="Times New Roman" w:eastAsia="仿宋_GB2312" w:cs="Times New Roman"/>
          <w:b w:val="0"/>
          <w:bCs w:val="0"/>
          <w:kern w:val="2"/>
          <w:sz w:val="28"/>
          <w:szCs w:val="28"/>
          <w:highlight w:val="none"/>
          <w:lang w:val="en-US" w:eastAsia="zh-CN" w:bidi="ar-SA"/>
        </w:rPr>
        <w:t>%。各分项指标得分情况如下表</w:t>
      </w:r>
      <w:r>
        <w:rPr>
          <w:rFonts w:hint="eastAsia" w:ascii="仿宋_GB2312" w:eastAsia="仿宋_GB2312" w:cs="Times New Roman"/>
          <w:b w:val="0"/>
          <w:bCs w:val="0"/>
          <w:kern w:val="2"/>
          <w:sz w:val="28"/>
          <w:szCs w:val="28"/>
          <w:highlight w:val="none"/>
          <w:lang w:val="en-US" w:eastAsia="zh-CN" w:bidi="ar-SA"/>
        </w:rPr>
        <w:t>4</w:t>
      </w:r>
      <w:r>
        <w:rPr>
          <w:rFonts w:hint="default" w:ascii="仿宋_GB2312" w:hAnsi="Times New Roman" w:eastAsia="仿宋_GB2312" w:cs="Times New Roman"/>
          <w:b w:val="0"/>
          <w:bCs w:val="0"/>
          <w:kern w:val="2"/>
          <w:sz w:val="28"/>
          <w:szCs w:val="28"/>
          <w:highlight w:val="none"/>
          <w:lang w:val="en-US" w:eastAsia="zh-CN" w:bidi="ar-SA"/>
        </w:rPr>
        <w:t>-</w:t>
      </w:r>
      <w:r>
        <w:rPr>
          <w:rFonts w:hint="eastAsia" w:ascii="仿宋_GB2312" w:eastAsia="仿宋_GB2312" w:cs="Times New Roman"/>
          <w:b w:val="0"/>
          <w:bCs w:val="0"/>
          <w:kern w:val="2"/>
          <w:sz w:val="28"/>
          <w:szCs w:val="28"/>
          <w:highlight w:val="none"/>
          <w:lang w:val="en-US" w:eastAsia="zh-CN" w:bidi="ar-SA"/>
        </w:rPr>
        <w:t>3</w:t>
      </w:r>
      <w:r>
        <w:rPr>
          <w:rFonts w:hint="default" w:ascii="仿宋_GB2312" w:hAnsi="Times New Roman" w:eastAsia="仿宋_GB2312" w:cs="Times New Roman"/>
          <w:b w:val="0"/>
          <w:bCs w:val="0"/>
          <w:kern w:val="2"/>
          <w:sz w:val="28"/>
          <w:szCs w:val="28"/>
          <w:highlight w:val="none"/>
          <w:lang w:val="en-US" w:eastAsia="zh-CN" w:bidi="ar-SA"/>
        </w:rPr>
        <w:t>所示：</w:t>
      </w:r>
    </w:p>
    <w:p>
      <w:pPr>
        <w:pStyle w:val="2"/>
        <w:jc w:val="center"/>
        <w:rPr>
          <w:rFonts w:hint="default"/>
          <w:highlight w:val="none"/>
          <w:lang w:val="en-US" w:eastAsia="zh-CN"/>
        </w:rPr>
      </w:pPr>
      <w:r>
        <w:rPr>
          <w:rFonts w:hint="eastAsia" w:ascii="仿宋" w:hAnsi="仿宋" w:eastAsia="仿宋" w:cs="仿宋"/>
          <w:sz w:val="28"/>
          <w:szCs w:val="28"/>
          <w:highlight w:val="none"/>
          <w:lang w:val="en-US" w:eastAsia="zh-CN"/>
        </w:rPr>
        <w:t>表4-3 社会效应得分情况表</w:t>
      </w:r>
    </w:p>
    <w:tbl>
      <w:tblPr>
        <w:tblStyle w:val="7"/>
        <w:tblW w:w="4998" w:type="pct"/>
        <w:jc w:val="center"/>
        <w:shd w:val="clear" w:color="auto" w:fill="auto"/>
        <w:tblLayout w:type="autofit"/>
        <w:tblCellMar>
          <w:top w:w="0" w:type="dxa"/>
          <w:left w:w="0" w:type="dxa"/>
          <w:bottom w:w="0" w:type="dxa"/>
          <w:right w:w="0" w:type="dxa"/>
        </w:tblCellMar>
      </w:tblPr>
      <w:tblGrid>
        <w:gridCol w:w="1182"/>
        <w:gridCol w:w="3574"/>
        <w:gridCol w:w="1187"/>
        <w:gridCol w:w="1189"/>
        <w:gridCol w:w="1189"/>
      </w:tblGrid>
      <w:tr>
        <w:tblPrEx>
          <w:shd w:val="clear" w:color="auto" w:fill="auto"/>
          <w:tblCellMar>
            <w:top w:w="0" w:type="dxa"/>
            <w:left w:w="0" w:type="dxa"/>
            <w:bottom w:w="0" w:type="dxa"/>
            <w:right w:w="0" w:type="dxa"/>
          </w:tblCellMar>
        </w:tblPrEx>
        <w:trPr>
          <w:trHeight w:val="363" w:hRule="atLeast"/>
          <w:tblHeader/>
          <w:jc w:val="center"/>
        </w:trPr>
        <w:tc>
          <w:tcPr>
            <w:tcW w:w="71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二级指标</w:t>
            </w:r>
          </w:p>
        </w:tc>
        <w:tc>
          <w:tcPr>
            <w:tcW w:w="214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三级指标</w:t>
            </w:r>
          </w:p>
        </w:tc>
        <w:tc>
          <w:tcPr>
            <w:tcW w:w="71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权重</w:t>
            </w:r>
          </w:p>
        </w:tc>
        <w:tc>
          <w:tcPr>
            <w:tcW w:w="71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 xml:space="preserve"> 得分 </w:t>
            </w:r>
          </w:p>
        </w:tc>
        <w:tc>
          <w:tcPr>
            <w:tcW w:w="71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得分率</w:t>
            </w:r>
          </w:p>
        </w:tc>
      </w:tr>
      <w:tr>
        <w:tblPrEx>
          <w:tblCellMar>
            <w:top w:w="0" w:type="dxa"/>
            <w:left w:w="0" w:type="dxa"/>
            <w:bottom w:w="0" w:type="dxa"/>
            <w:right w:w="0" w:type="dxa"/>
          </w:tblCellMar>
        </w:tblPrEx>
        <w:trPr>
          <w:trHeight w:val="360" w:hRule="atLeast"/>
          <w:jc w:val="center"/>
        </w:trPr>
        <w:tc>
          <w:tcPr>
            <w:tcW w:w="710" w:type="pct"/>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rPr>
            </w:pPr>
            <w:r>
              <w:rPr>
                <w:rFonts w:hint="eastAsia" w:ascii="仿宋" w:hAnsi="仿宋" w:eastAsia="仿宋" w:cs="仿宋"/>
                <w:i w:val="0"/>
                <w:color w:val="000000"/>
                <w:kern w:val="0"/>
                <w:sz w:val="20"/>
                <w:szCs w:val="20"/>
                <w:highlight w:val="none"/>
                <w:u w:val="none"/>
                <w:lang w:val="en-US" w:eastAsia="zh-CN" w:bidi="ar"/>
              </w:rPr>
              <w:t>C1社会影响</w:t>
            </w: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sz w:val="20"/>
                <w:szCs w:val="20"/>
                <w:highlight w:val="none"/>
                <w:u w:val="none"/>
                <w:lang w:val="en-US"/>
              </w:rPr>
            </w:pPr>
            <w:r>
              <w:rPr>
                <w:rFonts w:hint="eastAsia" w:ascii="仿宋" w:hAnsi="仿宋" w:eastAsia="仿宋" w:cs="仿宋"/>
                <w:i w:val="0"/>
                <w:color w:val="000000"/>
                <w:kern w:val="0"/>
                <w:sz w:val="20"/>
                <w:szCs w:val="20"/>
                <w:highlight w:val="none"/>
                <w:u w:val="none"/>
                <w:lang w:val="en-US" w:eastAsia="zh-CN" w:bidi="ar"/>
              </w:rPr>
              <w:t>C1-1体现社会主义制度优越性</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3</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3</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highlight w:val="none"/>
                <w:u w:val="none"/>
                <w:lang w:val="en-US" w:eastAsia="zh-CN"/>
              </w:rPr>
            </w:pPr>
            <w:r>
              <w:rPr>
                <w:rFonts w:hint="eastAsia" w:ascii="宋体" w:hAnsi="宋体" w:eastAsia="宋体" w:cs="宋体"/>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360" w:hRule="atLeast"/>
          <w:jc w:val="center"/>
        </w:trPr>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sz w:val="20"/>
                <w:szCs w:val="20"/>
                <w:highlight w:val="none"/>
                <w:u w:val="none"/>
                <w:lang w:val="en-US"/>
              </w:rPr>
            </w:pPr>
            <w:r>
              <w:rPr>
                <w:rFonts w:hint="eastAsia" w:ascii="仿宋" w:hAnsi="仿宋" w:eastAsia="仿宋" w:cs="仿宋"/>
                <w:i w:val="0"/>
                <w:color w:val="000000"/>
                <w:kern w:val="0"/>
                <w:sz w:val="20"/>
                <w:szCs w:val="20"/>
                <w:highlight w:val="none"/>
                <w:u w:val="none"/>
                <w:lang w:val="en-US" w:eastAsia="zh-CN" w:bidi="ar"/>
              </w:rPr>
              <w:t>C1-2发挥老干部作用</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4</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4</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宋体" w:hAnsi="宋体" w:eastAsia="宋体" w:cs="宋体"/>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360" w:hRule="atLeast"/>
          <w:jc w:val="center"/>
        </w:trPr>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0"/>
                <w:szCs w:val="20"/>
                <w:highlight w:val="none"/>
                <w:u w:val="none"/>
                <w:lang w:val="en-US" w:eastAsia="zh-CN" w:bidi="ar"/>
              </w:rPr>
            </w:pPr>
            <w:r>
              <w:rPr>
                <w:rFonts w:hint="eastAsia" w:ascii="仿宋" w:hAnsi="仿宋" w:eastAsia="仿宋" w:cs="仿宋"/>
                <w:i w:val="0"/>
                <w:color w:val="000000"/>
                <w:kern w:val="0"/>
                <w:sz w:val="20"/>
                <w:szCs w:val="20"/>
                <w:highlight w:val="none"/>
                <w:u w:val="none"/>
                <w:lang w:val="en-US" w:eastAsia="zh-CN" w:bidi="ar"/>
              </w:rPr>
              <w:t>C1-3提高离退休干部及老年人的精神生活质量</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3</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3</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宋体" w:hAnsi="宋体" w:eastAsia="宋体" w:cs="宋体"/>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360" w:hRule="atLeast"/>
          <w:jc w:val="center"/>
        </w:trPr>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highlight w:val="none"/>
                <w:u w:val="none"/>
              </w:rPr>
            </w:pPr>
            <w:r>
              <w:rPr>
                <w:rFonts w:hint="eastAsia" w:ascii="仿宋" w:hAnsi="仿宋" w:eastAsia="仿宋" w:cs="仿宋"/>
                <w:i w:val="0"/>
                <w:color w:val="000000"/>
                <w:kern w:val="0"/>
                <w:sz w:val="20"/>
                <w:szCs w:val="20"/>
                <w:highlight w:val="none"/>
                <w:u w:val="none"/>
                <w:lang w:val="en-US" w:eastAsia="zh-CN" w:bidi="ar"/>
              </w:rPr>
              <w:t>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10</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10</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宋体" w:hAnsi="宋体" w:eastAsia="宋体" w:cs="宋体"/>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360" w:hRule="atLeast"/>
          <w:jc w:val="center"/>
        </w:trPr>
        <w:tc>
          <w:tcPr>
            <w:tcW w:w="710" w:type="pct"/>
            <w:vMerge w:val="restart"/>
            <w:tcBorders>
              <w:top w:val="single" w:color="000000" w:sz="4" w:space="0"/>
              <w:left w:val="single" w:color="000000" w:sz="4" w:space="0"/>
              <w:right w:val="single" w:color="000000" w:sz="4" w:space="0"/>
            </w:tcBorders>
            <w:shd w:val="clear" w:color="auto" w:fill="auto"/>
            <w:tcMar>
              <w:top w:w="9" w:type="dxa"/>
              <w:left w:w="9" w:type="dxa"/>
              <w:right w:w="9" w:type="dxa"/>
            </w:tcMar>
            <w:vAlign w:val="center"/>
          </w:tcPr>
          <w:p>
            <w:pPr>
              <w:jc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C2满意度</w:t>
            </w: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0"/>
                <w:szCs w:val="20"/>
                <w:highlight w:val="none"/>
                <w:u w:val="none"/>
                <w:lang w:val="en-US" w:eastAsia="zh-CN" w:bidi="ar"/>
              </w:rPr>
            </w:pPr>
            <w:r>
              <w:rPr>
                <w:rFonts w:hint="eastAsia" w:ascii="仿宋" w:hAnsi="仿宋" w:eastAsia="仿宋" w:cs="仿宋"/>
                <w:i w:val="0"/>
                <w:color w:val="000000"/>
                <w:kern w:val="0"/>
                <w:sz w:val="20"/>
                <w:szCs w:val="20"/>
                <w:highlight w:val="none"/>
                <w:u w:val="none"/>
                <w:lang w:val="en-US" w:eastAsia="zh-CN" w:bidi="ar"/>
              </w:rPr>
              <w:t>C2-1离退休干部满意度</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5</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3.85</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77%</w:t>
            </w:r>
          </w:p>
        </w:tc>
      </w:tr>
      <w:tr>
        <w:tblPrEx>
          <w:tblCellMar>
            <w:top w:w="0" w:type="dxa"/>
            <w:left w:w="0" w:type="dxa"/>
            <w:bottom w:w="0" w:type="dxa"/>
            <w:right w:w="0" w:type="dxa"/>
          </w:tblCellMar>
        </w:tblPrEx>
        <w:trPr>
          <w:trHeight w:val="360" w:hRule="atLeast"/>
          <w:jc w:val="center"/>
        </w:trPr>
        <w:tc>
          <w:tcPr>
            <w:tcW w:w="710" w:type="pct"/>
            <w:vMerge w:val="continue"/>
            <w:tcBorders>
              <w:left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0"/>
                <w:szCs w:val="20"/>
                <w:highlight w:val="none"/>
                <w:u w:val="none"/>
                <w:lang w:val="en-US" w:eastAsia="zh-CN" w:bidi="ar"/>
              </w:rPr>
            </w:pPr>
            <w:r>
              <w:rPr>
                <w:rFonts w:hint="eastAsia" w:ascii="仿宋" w:hAnsi="仿宋" w:eastAsia="仿宋" w:cs="仿宋"/>
                <w:i w:val="0"/>
                <w:color w:val="000000"/>
                <w:kern w:val="0"/>
                <w:sz w:val="20"/>
                <w:szCs w:val="20"/>
                <w:highlight w:val="none"/>
                <w:u w:val="none"/>
                <w:lang w:val="en-US" w:eastAsia="zh-CN" w:bidi="ar"/>
              </w:rPr>
              <w:t>C2-2老年人满意度</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5</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4.7</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94%</w:t>
            </w:r>
          </w:p>
        </w:tc>
      </w:tr>
      <w:tr>
        <w:tblPrEx>
          <w:tblCellMar>
            <w:top w:w="0" w:type="dxa"/>
            <w:left w:w="0" w:type="dxa"/>
            <w:bottom w:w="0" w:type="dxa"/>
            <w:right w:w="0" w:type="dxa"/>
          </w:tblCellMar>
        </w:tblPrEx>
        <w:trPr>
          <w:trHeight w:val="360" w:hRule="atLeast"/>
          <w:jc w:val="center"/>
        </w:trPr>
        <w:tc>
          <w:tcPr>
            <w:tcW w:w="710" w:type="pct"/>
            <w:vMerge w:val="continue"/>
            <w:tcBorders>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highlight w:val="none"/>
                <w:u w:val="none"/>
              </w:rPr>
            </w:pP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highlight w:val="none"/>
                <w:u w:val="none"/>
                <w:lang w:val="en-US" w:eastAsia="zh-CN" w:bidi="ar"/>
              </w:rPr>
            </w:pPr>
            <w:r>
              <w:rPr>
                <w:rFonts w:hint="eastAsia" w:ascii="仿宋" w:hAnsi="仿宋" w:eastAsia="仿宋" w:cs="仿宋"/>
                <w:i w:val="0"/>
                <w:color w:val="000000"/>
                <w:kern w:val="0"/>
                <w:sz w:val="20"/>
                <w:szCs w:val="20"/>
                <w:highlight w:val="none"/>
                <w:u w:val="none"/>
                <w:lang w:val="en-US" w:eastAsia="zh-CN" w:bidi="ar"/>
              </w:rPr>
              <w:t>小计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10</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8.55</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85.5%</w:t>
            </w:r>
          </w:p>
        </w:tc>
      </w:tr>
      <w:tr>
        <w:tblPrEx>
          <w:tblCellMar>
            <w:top w:w="0" w:type="dxa"/>
            <w:left w:w="0" w:type="dxa"/>
            <w:bottom w:w="0" w:type="dxa"/>
            <w:right w:w="0" w:type="dxa"/>
          </w:tblCellMar>
        </w:tblPrEx>
        <w:trPr>
          <w:trHeight w:val="360" w:hRule="atLeast"/>
          <w:jc w:val="center"/>
        </w:trPr>
        <w:tc>
          <w:tcPr>
            <w:tcW w:w="2857"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highlight w:val="none"/>
                <w:u w:val="none"/>
              </w:rPr>
            </w:pPr>
            <w:r>
              <w:rPr>
                <w:rFonts w:hint="eastAsia" w:ascii="仿宋" w:hAnsi="仿宋" w:eastAsia="仿宋" w:cs="仿宋"/>
                <w:i w:val="0"/>
                <w:color w:val="000000"/>
                <w:kern w:val="0"/>
                <w:sz w:val="20"/>
                <w:szCs w:val="20"/>
                <w:highlight w:val="none"/>
                <w:u w:val="none"/>
                <w:lang w:val="en-US" w:eastAsia="zh-CN" w:bidi="ar"/>
              </w:rPr>
              <w:t>合计</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20</w:t>
            </w:r>
          </w:p>
        </w:tc>
        <w:tc>
          <w:tcPr>
            <w:tcW w:w="71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18.55</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92.75%</w:t>
            </w:r>
          </w:p>
        </w:tc>
      </w:tr>
    </w:tbl>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1.C1社会影响，权重10分，得分10分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eastAsia" w:hAnsi="Times New Roman"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（1）</w:t>
      </w:r>
      <w:r>
        <w:rPr>
          <w:rFonts w:hint="eastAsia" w:hAnsi="Times New Roman" w:cs="Times New Roman"/>
          <w:b/>
          <w:bCs/>
          <w:kern w:val="2"/>
          <w:sz w:val="28"/>
          <w:szCs w:val="28"/>
          <w:highlight w:val="none"/>
          <w:lang w:val="en-US" w:eastAsia="zh-CN" w:bidi="ar-SA"/>
        </w:rPr>
        <w:t>C</w:t>
      </w:r>
      <w:r>
        <w:rPr>
          <w:rFonts w:hint="default" w:ascii="仿宋_GB2312" w:hAnsi="Times New Roman" w:eastAsia="仿宋_GB2312" w:cs="Times New Roman"/>
          <w:b/>
          <w:bCs/>
          <w:kern w:val="2"/>
          <w:sz w:val="28"/>
          <w:szCs w:val="28"/>
          <w:highlight w:val="none"/>
          <w:lang w:val="en-US" w:eastAsia="zh-CN" w:bidi="ar-SA"/>
        </w:rPr>
        <w:t>1-1</w:t>
      </w:r>
      <w:r>
        <w:rPr>
          <w:rFonts w:hint="eastAsia" w:hAnsi="Times New Roman" w:cs="Times New Roman"/>
          <w:b/>
          <w:bCs/>
          <w:kern w:val="2"/>
          <w:sz w:val="28"/>
          <w:szCs w:val="28"/>
          <w:highlight w:val="none"/>
          <w:lang w:val="en-US" w:eastAsia="zh-CN" w:bidi="ar-SA"/>
        </w:rPr>
        <w:t>体现社会主义制度优越性</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仿宋_GB2312" w:eastAsia="仿宋_GB2312" w:cs="Times New Roman"/>
          <w:b w:val="0"/>
          <w:bCs w:val="0"/>
          <w:kern w:val="2"/>
          <w:sz w:val="28"/>
          <w:szCs w:val="28"/>
          <w:highlight w:val="none"/>
          <w:lang w:val="en-US" w:eastAsia="zh-CN" w:bidi="ar-SA"/>
        </w:rPr>
      </w:pPr>
      <w:r>
        <w:rPr>
          <w:rFonts w:hint="eastAsia" w:ascii="仿宋_GB2312" w:eastAsia="仿宋_GB2312" w:cs="Times New Roman"/>
          <w:b w:val="0"/>
          <w:bCs w:val="0"/>
          <w:kern w:val="2"/>
          <w:sz w:val="28"/>
          <w:szCs w:val="28"/>
          <w:highlight w:val="none"/>
          <w:lang w:val="en-US" w:eastAsia="zh-CN" w:bidi="ar-SA"/>
        </w:rPr>
        <w:t>临猗县老干部局通过对老干部进行政治待遇、生活待遇的落实，和对离退休干部在政治上予以尊重，生活上予以照顾，发扬了党和国家关心、爱护老干部的传统，让老干部有归属感、获得感、幸福感。依据评分标准，体现社会主义制度的优越性得3分；该指标权重3分，得分3分。</w:t>
      </w:r>
    </w:p>
    <w:p>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ascii="仿宋_GB2312" w:eastAsia="仿宋_GB2312" w:cs="Times New Roman"/>
          <w:b/>
          <w:bCs/>
          <w:kern w:val="2"/>
          <w:sz w:val="28"/>
          <w:szCs w:val="28"/>
          <w:highlight w:val="none"/>
          <w:lang w:val="en-US" w:eastAsia="zh-CN" w:bidi="ar-SA"/>
        </w:rPr>
      </w:pPr>
      <w:r>
        <w:rPr>
          <w:rFonts w:hint="eastAsia" w:ascii="仿宋_GB2312" w:eastAsia="仿宋_GB2312" w:cs="Times New Roman"/>
          <w:b/>
          <w:bCs/>
          <w:kern w:val="2"/>
          <w:sz w:val="28"/>
          <w:szCs w:val="28"/>
          <w:highlight w:val="none"/>
          <w:lang w:val="en-US" w:eastAsia="zh-CN" w:bidi="ar-SA"/>
        </w:rPr>
        <w:t>（2）C1-2发挥老干部作用</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_GB2312" w:eastAsia="仿宋_GB2312" w:cs="Times New Roman"/>
          <w:b w:val="0"/>
          <w:bCs w:val="0"/>
          <w:kern w:val="2"/>
          <w:sz w:val="28"/>
          <w:szCs w:val="28"/>
          <w:highlight w:val="none"/>
          <w:lang w:val="en-US" w:eastAsia="zh-CN" w:bidi="ar-SA"/>
        </w:rPr>
      </w:pPr>
      <w:r>
        <w:rPr>
          <w:rFonts w:hint="eastAsia" w:ascii="仿宋_GB2312" w:eastAsia="仿宋_GB2312" w:cs="Times New Roman"/>
          <w:b w:val="0"/>
          <w:bCs w:val="0"/>
          <w:kern w:val="2"/>
          <w:sz w:val="28"/>
          <w:szCs w:val="28"/>
          <w:highlight w:val="none"/>
          <w:lang w:val="en-US" w:eastAsia="zh-CN" w:bidi="ar-SA"/>
        </w:rPr>
        <w:t>临猗县老干部局通过组织离退休干部进行学习教育，采取集中学习、个人自学、上门督学、主题党日活动、召开老干部党员座谈会等形式，对年老体弱、行动不便的党员送学上门；同时培树典型，总结宣传老干部在助力临猗脱贫攻坚、社会治理、志愿服务等方面发挥作用的先进事例，扩大老干部示范引领作用和社会影响。依据评分标准，展现老干部促进经济社会文明进步方面的贡献和作用的得2分。</w:t>
      </w:r>
    </w:p>
    <w:p>
      <w:pPr>
        <w:pStyle w:val="2"/>
        <w:ind w:firstLine="560"/>
        <w:rPr>
          <w:rFonts w:hint="default" w:ascii="仿宋_GB2312" w:hAnsi="Times New Roman" w:eastAsia="仿宋_GB2312" w:cs="Times New Roman"/>
          <w:b w:val="0"/>
          <w:bCs w:val="0"/>
          <w:kern w:val="2"/>
          <w:sz w:val="28"/>
          <w:szCs w:val="28"/>
          <w:highlight w:val="none"/>
          <w:lang w:val="en-US" w:eastAsia="zh-CN" w:bidi="ar-SA"/>
        </w:rPr>
      </w:pPr>
      <w:r>
        <w:rPr>
          <w:rFonts w:hint="eastAsia" w:ascii="仿宋_GB2312" w:hAnsi="Times New Roman" w:eastAsia="仿宋_GB2312" w:cs="Times New Roman"/>
          <w:b w:val="0"/>
          <w:bCs w:val="0"/>
          <w:kern w:val="2"/>
          <w:sz w:val="28"/>
          <w:szCs w:val="28"/>
          <w:highlight w:val="none"/>
          <w:lang w:val="en-US" w:eastAsia="zh-CN" w:bidi="ar-SA"/>
        </w:rPr>
        <w:t>临猗县老干部局对年龄不超过70周岁的老同志建立离退休干部人才信息库，以董颖超、徐广益等为代表的农业人才库，以范银发、闫发云等为代表的工业人才库，以刘武、胡王管为代表的党建人才库，以关英才、昝吉康为代表的法制人才库，有效整合了干部资源，形成了规模。依据评分标准，使老干部能够发挥人才资源效益得2分。</w:t>
      </w:r>
    </w:p>
    <w:p>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eastAsia" w:ascii="仿宋_GB2312" w:eastAsia="仿宋_GB2312" w:cs="Times New Roman"/>
          <w:b/>
          <w:bCs/>
          <w:kern w:val="2"/>
          <w:sz w:val="28"/>
          <w:szCs w:val="28"/>
          <w:highlight w:val="none"/>
          <w:lang w:val="en-US" w:eastAsia="zh-CN" w:bidi="ar-SA"/>
        </w:rPr>
      </w:pPr>
      <w:r>
        <w:rPr>
          <w:rFonts w:hint="eastAsia" w:ascii="仿宋_GB2312" w:eastAsia="仿宋_GB2312" w:cs="Times New Roman"/>
          <w:b/>
          <w:bCs/>
          <w:kern w:val="2"/>
          <w:sz w:val="28"/>
          <w:szCs w:val="28"/>
          <w:highlight w:val="none"/>
          <w:lang w:val="en-US" w:eastAsia="zh-CN" w:bidi="ar-SA"/>
        </w:rPr>
        <w:t>（3）C1-3提高离退休干部及老年人的精神生活质量</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仿宋_GB2312" w:hAnsi="Times New Roman" w:eastAsia="仿宋_GB2312" w:cs="Times New Roman"/>
          <w:b w:val="0"/>
          <w:bCs w:val="0"/>
          <w:kern w:val="2"/>
          <w:sz w:val="28"/>
          <w:szCs w:val="28"/>
          <w:highlight w:val="none"/>
          <w:lang w:val="en-US" w:eastAsia="zh-CN" w:bidi="ar-SA"/>
        </w:rPr>
      </w:pPr>
      <w:r>
        <w:rPr>
          <w:rFonts w:hint="eastAsia" w:ascii="仿宋_GB2312" w:eastAsia="仿宋_GB2312" w:cs="Times New Roman"/>
          <w:b w:val="0"/>
          <w:bCs w:val="0"/>
          <w:kern w:val="2"/>
          <w:sz w:val="28"/>
          <w:szCs w:val="28"/>
          <w:highlight w:val="none"/>
          <w:lang w:val="en-US" w:eastAsia="zh-CN" w:bidi="ar-SA"/>
        </w:rPr>
        <w:t>老干部活动中心、老年大学、老年协会组织开展的文化、体育、健身等娱</w:t>
      </w:r>
      <w:r>
        <w:rPr>
          <w:rFonts w:hint="eastAsia" w:ascii="仿宋_GB2312" w:hAnsi="Times New Roman" w:eastAsia="仿宋_GB2312" w:cs="Times New Roman"/>
          <w:b w:val="0"/>
          <w:bCs w:val="0"/>
          <w:kern w:val="2"/>
          <w:sz w:val="28"/>
          <w:szCs w:val="28"/>
          <w:highlight w:val="none"/>
          <w:lang w:val="en-US" w:eastAsia="zh-CN" w:bidi="ar-SA"/>
        </w:rPr>
        <w:t>乐活动，搭起了一座老年人与社会、其他老年人沟通的平台，满足了老年人精神文化发展的需求，丰富了老年人的精神生活，使老年人“老有所学，老有所乐”，老年大学课程对学员免费开放，使老年人既能满足精神生活的需要，又不增加老年人生活负担，提升了离退休干部和老年人的生活水平和生活质量。依据评分标准，该指标权重3分，得分3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2.C2满意度，权重10分，得分8.55分</w:t>
      </w:r>
    </w:p>
    <w:p>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ascii="仿宋_GB2312" w:eastAsia="仿宋_GB2312"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（1）</w:t>
      </w:r>
      <w:r>
        <w:rPr>
          <w:rFonts w:hint="eastAsia" w:hAnsi="Times New Roman" w:cs="Times New Roman"/>
          <w:b/>
          <w:bCs/>
          <w:kern w:val="2"/>
          <w:sz w:val="28"/>
          <w:szCs w:val="28"/>
          <w:highlight w:val="none"/>
          <w:lang w:val="en-US" w:eastAsia="zh-CN" w:bidi="ar-SA"/>
        </w:rPr>
        <w:t>C2</w:t>
      </w:r>
      <w:r>
        <w:rPr>
          <w:rFonts w:hint="default" w:ascii="仿宋_GB2312" w:hAnsi="Times New Roman" w:eastAsia="仿宋_GB2312" w:cs="Times New Roman"/>
          <w:b/>
          <w:bCs/>
          <w:kern w:val="2"/>
          <w:sz w:val="28"/>
          <w:szCs w:val="28"/>
          <w:highlight w:val="none"/>
          <w:lang w:val="en-US" w:eastAsia="zh-CN" w:bidi="ar-SA"/>
        </w:rPr>
        <w:t>-1</w:t>
      </w:r>
      <w:r>
        <w:rPr>
          <w:rFonts w:hint="eastAsia" w:ascii="仿宋_GB2312" w:eastAsia="仿宋_GB2312" w:cs="Times New Roman"/>
          <w:b/>
          <w:bCs/>
          <w:kern w:val="2"/>
          <w:sz w:val="28"/>
          <w:szCs w:val="28"/>
          <w:highlight w:val="none"/>
          <w:lang w:val="en-US" w:eastAsia="zh-CN" w:bidi="ar-SA"/>
        </w:rPr>
        <w:t>离退休干部满意度</w:t>
      </w:r>
    </w:p>
    <w:p>
      <w:pPr>
        <w:pStyle w:val="2"/>
        <w:numPr>
          <w:ilvl w:val="0"/>
          <w:numId w:val="0"/>
        </w:numPr>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本次绩效评价向临猗县老干部局服务管理范围内的离退休干部进行了问卷调查，针对部门的整体工作满意度进行了匿名打分，共对40名离退休干部进行了调查，45%的离退休干部对部门整体工作感到非常满意，52.5%的离退休干部感到满意，2.5%的离退休干部认为一般。问卷满意度结果汇总见表4-3-1。依据评分标准，本指标得分=（18×5+21×3+1×1）/40=3.85分。</w:t>
      </w:r>
    </w:p>
    <w:p>
      <w:pPr>
        <w:pStyle w:val="2"/>
        <w:numPr>
          <w:ilvl w:val="0"/>
          <w:numId w:val="0"/>
        </w:numPr>
        <w:ind w:firstLine="562" w:firstLineChars="20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表4-3-1 问卷满意度结果汇总表</w:t>
      </w:r>
    </w:p>
    <w:tbl>
      <w:tblPr>
        <w:tblStyle w:val="7"/>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49"/>
        <w:gridCol w:w="1029"/>
        <w:gridCol w:w="4344"/>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EBEBE" w:themeFill="background1" w:themeFillShade="BF"/>
            <w:vAlign w:val="center"/>
          </w:tcPr>
          <w:p>
            <w:pPr>
              <w:jc w:val="center"/>
              <w:rPr>
                <w:rFonts w:hint="eastAsia" w:ascii="仿宋" w:hAnsi="仿宋" w:eastAsia="仿宋" w:cs="仿宋"/>
                <w:b/>
                <w:bCs/>
                <w:sz w:val="24"/>
                <w:szCs w:val="32"/>
              </w:rPr>
            </w:pPr>
            <w:r>
              <w:rPr>
                <w:rFonts w:hint="eastAsia" w:ascii="仿宋" w:hAnsi="仿宋" w:eastAsia="仿宋" w:cs="仿宋"/>
                <w:b/>
                <w:bCs/>
                <w:sz w:val="24"/>
                <w:szCs w:val="32"/>
              </w:rPr>
              <w:t>选项</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EBEBE" w:themeFill="background1" w:themeFillShade="BF"/>
            <w:vAlign w:val="center"/>
          </w:tcPr>
          <w:p>
            <w:pPr>
              <w:jc w:val="center"/>
              <w:rPr>
                <w:rFonts w:hint="eastAsia" w:ascii="仿宋" w:hAnsi="仿宋" w:eastAsia="仿宋" w:cs="仿宋"/>
                <w:b/>
                <w:bCs/>
                <w:sz w:val="24"/>
                <w:szCs w:val="32"/>
              </w:rPr>
            </w:pPr>
            <w:r>
              <w:rPr>
                <w:rFonts w:hint="eastAsia" w:ascii="仿宋" w:hAnsi="仿宋" w:eastAsia="仿宋" w:cs="仿宋"/>
                <w:b/>
                <w:bCs/>
                <w:sz w:val="24"/>
                <w:szCs w:val="32"/>
              </w:rPr>
              <w:t>小计</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EBEBE" w:themeFill="background1" w:themeFillShade="BF"/>
            <w:vAlign w:val="center"/>
          </w:tcPr>
          <w:p>
            <w:pPr>
              <w:jc w:val="center"/>
              <w:rPr>
                <w:rFonts w:hint="eastAsia" w:ascii="仿宋" w:hAnsi="仿宋" w:eastAsia="仿宋" w:cs="仿宋"/>
                <w:b/>
                <w:bCs/>
                <w:sz w:val="24"/>
                <w:szCs w:val="32"/>
              </w:rPr>
            </w:pPr>
            <w:r>
              <w:rPr>
                <w:rFonts w:hint="eastAsia" w:ascii="仿宋" w:hAnsi="仿宋" w:eastAsia="仿宋" w:cs="仿宋"/>
                <w:b/>
                <w:bCs/>
                <w:sz w:val="24"/>
                <w:szCs w:val="32"/>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t>A.非常满意</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18</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drawing>
                <wp:inline distT="0" distB="0" distL="114300" distR="114300">
                  <wp:extent cx="600075" cy="114300"/>
                  <wp:effectExtent l="0" t="0" r="9525" b="0"/>
                  <wp:docPr id="1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5"/>
                          <pic:cNvPicPr>
                            <a:picLocks noChangeAspect="1"/>
                          </pic:cNvPicPr>
                        </pic:nvPicPr>
                        <pic:blipFill>
                          <a:blip r:embed="rId9"/>
                          <a:stretch>
                            <a:fillRect/>
                          </a:stretch>
                        </pic:blipFill>
                        <pic:spPr>
                          <a:xfrm>
                            <a:off x="0" y="0"/>
                            <a:ext cx="600075" cy="114300"/>
                          </a:xfrm>
                          <a:prstGeom prst="rect">
                            <a:avLst/>
                          </a:prstGeom>
                          <a:noFill/>
                          <a:ln>
                            <a:noFill/>
                          </a:ln>
                        </pic:spPr>
                      </pic:pic>
                    </a:graphicData>
                  </a:graphic>
                </wp:inline>
              </w:drawing>
            </w:r>
            <w:r>
              <w:rPr>
                <w:rFonts w:hint="eastAsia" w:ascii="仿宋" w:hAnsi="仿宋" w:eastAsia="仿宋" w:cs="仿宋"/>
                <w:sz w:val="24"/>
                <w:szCs w:val="32"/>
              </w:rPr>
              <w:drawing>
                <wp:inline distT="0" distB="0" distL="114300" distR="114300">
                  <wp:extent cx="752475" cy="114300"/>
                  <wp:effectExtent l="0" t="0" r="9525" b="0"/>
                  <wp:docPr id="14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6"/>
                          <pic:cNvPicPr>
                            <a:picLocks noChangeAspect="1"/>
                          </pic:cNvPicPr>
                        </pic:nvPicPr>
                        <pic:blipFill>
                          <a:blip r:embed="rId10"/>
                          <a:stretch>
                            <a:fillRect/>
                          </a:stretch>
                        </pic:blipFill>
                        <pic:spPr>
                          <a:xfrm>
                            <a:off x="0" y="0"/>
                            <a:ext cx="752475" cy="114300"/>
                          </a:xfrm>
                          <a:prstGeom prst="rect">
                            <a:avLst/>
                          </a:prstGeom>
                          <a:noFill/>
                          <a:ln>
                            <a:noFill/>
                          </a:ln>
                        </pic:spPr>
                      </pic:pic>
                    </a:graphicData>
                  </a:graphic>
                </wp:inline>
              </w:drawing>
            </w:r>
            <w:r>
              <w:rPr>
                <w:rFonts w:hint="eastAsia" w:ascii="仿宋" w:hAnsi="仿宋" w:eastAsia="仿宋" w:cs="仿宋"/>
                <w:sz w:val="24"/>
                <w:szCs w:val="32"/>
              </w:rPr>
              <w:t>45%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t>B.满意</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21</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drawing>
                <wp:inline distT="0" distB="0" distL="114300" distR="114300">
                  <wp:extent cx="704850" cy="114300"/>
                  <wp:effectExtent l="0" t="0" r="0" b="0"/>
                  <wp:docPr id="14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7"/>
                          <pic:cNvPicPr>
                            <a:picLocks noChangeAspect="1"/>
                          </pic:cNvPicPr>
                        </pic:nvPicPr>
                        <pic:blipFill>
                          <a:blip r:embed="rId11"/>
                          <a:stretch>
                            <a:fillRect/>
                          </a:stretch>
                        </pic:blipFill>
                        <pic:spPr>
                          <a:xfrm>
                            <a:off x="0" y="0"/>
                            <a:ext cx="704850" cy="114300"/>
                          </a:xfrm>
                          <a:prstGeom prst="rect">
                            <a:avLst/>
                          </a:prstGeom>
                          <a:noFill/>
                          <a:ln>
                            <a:noFill/>
                          </a:ln>
                        </pic:spPr>
                      </pic:pic>
                    </a:graphicData>
                  </a:graphic>
                </wp:inline>
              </w:drawing>
            </w:r>
            <w:r>
              <w:rPr>
                <w:rFonts w:hint="eastAsia" w:ascii="仿宋" w:hAnsi="仿宋" w:eastAsia="仿宋" w:cs="仿宋"/>
                <w:sz w:val="24"/>
                <w:szCs w:val="32"/>
              </w:rPr>
              <w:drawing>
                <wp:inline distT="0" distB="0" distL="114300" distR="114300">
                  <wp:extent cx="647700" cy="114300"/>
                  <wp:effectExtent l="0" t="0" r="0" b="0"/>
                  <wp:docPr id="1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8"/>
                          <pic:cNvPicPr>
                            <a:picLocks noChangeAspect="1"/>
                          </pic:cNvPicPr>
                        </pic:nvPicPr>
                        <pic:blipFill>
                          <a:blip r:embed="rId12"/>
                          <a:stretch>
                            <a:fillRect/>
                          </a:stretch>
                        </pic:blipFill>
                        <pic:spPr>
                          <a:xfrm>
                            <a:off x="0" y="0"/>
                            <a:ext cx="647700" cy="114300"/>
                          </a:xfrm>
                          <a:prstGeom prst="rect">
                            <a:avLst/>
                          </a:prstGeom>
                          <a:noFill/>
                          <a:ln>
                            <a:noFill/>
                          </a:ln>
                        </pic:spPr>
                      </pic:pic>
                    </a:graphicData>
                  </a:graphic>
                </wp:inline>
              </w:drawing>
            </w:r>
            <w:r>
              <w:rPr>
                <w:rFonts w:hint="eastAsia" w:ascii="仿宋" w:hAnsi="仿宋" w:eastAsia="仿宋" w:cs="仿宋"/>
                <w:sz w:val="24"/>
                <w:szCs w:val="32"/>
              </w:rPr>
              <w:t>52.5%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t>C.一般</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1</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drawing>
                <wp:inline distT="0" distB="0" distL="114300" distR="114300">
                  <wp:extent cx="28575" cy="114300"/>
                  <wp:effectExtent l="0" t="0" r="9525" b="0"/>
                  <wp:docPr id="14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9"/>
                          <pic:cNvPicPr>
                            <a:picLocks noChangeAspect="1"/>
                          </pic:cNvPicPr>
                        </pic:nvPicPr>
                        <pic:blipFill>
                          <a:blip r:embed="rId13"/>
                          <a:stretch>
                            <a:fillRect/>
                          </a:stretch>
                        </pic:blipFill>
                        <pic:spPr>
                          <a:xfrm>
                            <a:off x="0" y="0"/>
                            <a:ext cx="28575" cy="114300"/>
                          </a:xfrm>
                          <a:prstGeom prst="rect">
                            <a:avLst/>
                          </a:prstGeom>
                          <a:noFill/>
                          <a:ln>
                            <a:noFill/>
                          </a:ln>
                        </pic:spPr>
                      </pic:pic>
                    </a:graphicData>
                  </a:graphic>
                </wp:inline>
              </w:drawing>
            </w:r>
            <w:r>
              <w:rPr>
                <w:rFonts w:hint="eastAsia" w:ascii="仿宋" w:hAnsi="仿宋" w:eastAsia="仿宋" w:cs="仿宋"/>
                <w:sz w:val="24"/>
                <w:szCs w:val="32"/>
              </w:rPr>
              <w:drawing>
                <wp:inline distT="0" distB="0" distL="114300" distR="114300">
                  <wp:extent cx="1323975" cy="114300"/>
                  <wp:effectExtent l="0" t="0" r="9525" b="0"/>
                  <wp:docPr id="14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0"/>
                          <pic:cNvPicPr>
                            <a:picLocks noChangeAspect="1"/>
                          </pic:cNvPicPr>
                        </pic:nvPicPr>
                        <pic:blipFill>
                          <a:blip r:embed="rId14"/>
                          <a:stretch>
                            <a:fillRect/>
                          </a:stretch>
                        </pic:blipFill>
                        <pic:spPr>
                          <a:xfrm>
                            <a:off x="0" y="0"/>
                            <a:ext cx="1323975" cy="114300"/>
                          </a:xfrm>
                          <a:prstGeom prst="rect">
                            <a:avLst/>
                          </a:prstGeom>
                          <a:noFill/>
                          <a:ln>
                            <a:noFill/>
                          </a:ln>
                        </pic:spPr>
                      </pic:pic>
                    </a:graphicData>
                  </a:graphic>
                </wp:inline>
              </w:drawing>
            </w:r>
            <w:r>
              <w:rPr>
                <w:rFonts w:hint="eastAsia" w:ascii="仿宋" w:hAnsi="仿宋" w:eastAsia="仿宋" w:cs="仿宋"/>
                <w:sz w:val="24"/>
                <w:szCs w:val="32"/>
              </w:rPr>
              <w:t>2.5%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t>D.不满意</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0</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drawing>
                <wp:inline distT="0" distB="0" distL="114300" distR="114300">
                  <wp:extent cx="1352550" cy="114300"/>
                  <wp:effectExtent l="0" t="0" r="0" b="0"/>
                  <wp:docPr id="1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1"/>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sz w:val="24"/>
                <w:szCs w:val="32"/>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t>E.非常不满意</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0</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drawing>
                <wp:inline distT="0" distB="0" distL="114300" distR="114300">
                  <wp:extent cx="1352550" cy="114300"/>
                  <wp:effectExtent l="0" t="0" r="0" b="0"/>
                  <wp:docPr id="14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2"/>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sz w:val="24"/>
                <w:szCs w:val="32"/>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t>本题有效填写人次</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40</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p>
        </w:tc>
      </w:tr>
    </w:tbl>
    <w:p>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ascii="仿宋_GB2312" w:eastAsia="仿宋_GB2312" w:cs="Times New Roman"/>
          <w:b/>
          <w:bCs/>
          <w:kern w:val="2"/>
          <w:sz w:val="28"/>
          <w:szCs w:val="28"/>
          <w:highlight w:val="none"/>
          <w:lang w:val="en-US" w:eastAsia="zh-CN" w:bidi="ar-SA"/>
        </w:rPr>
      </w:pPr>
      <w:r>
        <w:rPr>
          <w:rFonts w:hint="eastAsia" w:ascii="仿宋_GB2312" w:eastAsia="仿宋_GB2312" w:cs="Times New Roman"/>
          <w:b/>
          <w:bCs/>
          <w:kern w:val="2"/>
          <w:sz w:val="28"/>
          <w:szCs w:val="28"/>
          <w:highlight w:val="none"/>
          <w:lang w:val="en-US" w:eastAsia="zh-CN" w:bidi="ar-SA"/>
        </w:rPr>
        <w:t>（2）C2-2老年人满意度</w:t>
      </w:r>
    </w:p>
    <w:p>
      <w:pPr>
        <w:pStyle w:val="2"/>
        <w:numPr>
          <w:ilvl w:val="0"/>
          <w:numId w:val="0"/>
        </w:numPr>
        <w:ind w:firstLine="560" w:firstLineChars="20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本次绩效评价向老年大学学员及老年协会成员等受益群众进行了问卷调查，针对部门的整体工作满意度进行了匿名打分，共对40名受益老年人进行了调查，50%的受益老年人对部门整体工作感到非常满意，42.5%的受益老年人感到满意，7.5%的受益老年人认为一般。问卷满意度结果汇总见表4-3-2。依据评分标准，本指标得分=（20×5+17×3+3×1）/40=4.7分。</w:t>
      </w:r>
    </w:p>
    <w:p>
      <w:pPr>
        <w:pStyle w:val="2"/>
        <w:numPr>
          <w:ilvl w:val="0"/>
          <w:numId w:val="0"/>
        </w:numPr>
        <w:ind w:firstLine="562" w:firstLineChars="200"/>
        <w:jc w:val="center"/>
        <w:rPr>
          <w:rFonts w:hint="default"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表4-3-2 问卷满意度结果汇总表</w:t>
      </w:r>
    </w:p>
    <w:tbl>
      <w:tblPr>
        <w:tblStyle w:val="7"/>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149"/>
        <w:gridCol w:w="1029"/>
        <w:gridCol w:w="4344"/>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EBEBE" w:themeFill="background1" w:themeFillShade="BF"/>
            <w:vAlign w:val="center"/>
          </w:tcPr>
          <w:p>
            <w:pPr>
              <w:jc w:val="center"/>
              <w:rPr>
                <w:rFonts w:hint="eastAsia" w:ascii="仿宋" w:hAnsi="仿宋" w:eastAsia="仿宋" w:cs="仿宋"/>
                <w:b/>
                <w:bCs/>
                <w:sz w:val="24"/>
                <w:szCs w:val="32"/>
              </w:rPr>
            </w:pPr>
            <w:r>
              <w:rPr>
                <w:rFonts w:hint="eastAsia" w:ascii="仿宋" w:hAnsi="仿宋" w:eastAsia="仿宋" w:cs="仿宋"/>
                <w:b/>
                <w:bCs/>
                <w:sz w:val="24"/>
                <w:szCs w:val="32"/>
              </w:rPr>
              <w:t>选项</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EBEBE" w:themeFill="background1" w:themeFillShade="BF"/>
            <w:vAlign w:val="center"/>
          </w:tcPr>
          <w:p>
            <w:pPr>
              <w:jc w:val="center"/>
              <w:rPr>
                <w:rFonts w:hint="eastAsia" w:ascii="仿宋" w:hAnsi="仿宋" w:eastAsia="仿宋" w:cs="仿宋"/>
                <w:b/>
                <w:bCs/>
                <w:sz w:val="24"/>
                <w:szCs w:val="32"/>
              </w:rPr>
            </w:pPr>
            <w:r>
              <w:rPr>
                <w:rFonts w:hint="eastAsia" w:ascii="仿宋" w:hAnsi="仿宋" w:eastAsia="仿宋" w:cs="仿宋"/>
                <w:b/>
                <w:bCs/>
                <w:sz w:val="24"/>
                <w:szCs w:val="32"/>
              </w:rPr>
              <w:t>小计</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EBEBE" w:themeFill="background1" w:themeFillShade="BF"/>
            <w:vAlign w:val="center"/>
          </w:tcPr>
          <w:p>
            <w:pPr>
              <w:jc w:val="center"/>
              <w:rPr>
                <w:rFonts w:hint="eastAsia" w:ascii="仿宋" w:hAnsi="仿宋" w:eastAsia="仿宋" w:cs="仿宋"/>
                <w:b/>
                <w:bCs/>
                <w:sz w:val="24"/>
                <w:szCs w:val="32"/>
              </w:rPr>
            </w:pPr>
            <w:r>
              <w:rPr>
                <w:rFonts w:hint="eastAsia" w:ascii="仿宋" w:hAnsi="仿宋" w:eastAsia="仿宋" w:cs="仿宋"/>
                <w:b/>
                <w:bCs/>
                <w:sz w:val="24"/>
                <w:szCs w:val="32"/>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t>A.非常满意</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20</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drawing>
                <wp:inline distT="0" distB="0" distL="114300" distR="114300">
                  <wp:extent cx="676275" cy="114300"/>
                  <wp:effectExtent l="0" t="0" r="9525" b="0"/>
                  <wp:docPr id="1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3"/>
                          <pic:cNvPicPr>
                            <a:picLocks noChangeAspect="1"/>
                          </pic:cNvPicPr>
                        </pic:nvPicPr>
                        <pic:blipFill>
                          <a:blip r:embed="rId16"/>
                          <a:stretch>
                            <a:fillRect/>
                          </a:stretch>
                        </pic:blipFill>
                        <pic:spPr>
                          <a:xfrm>
                            <a:off x="0" y="0"/>
                            <a:ext cx="676275" cy="114300"/>
                          </a:xfrm>
                          <a:prstGeom prst="rect">
                            <a:avLst/>
                          </a:prstGeom>
                          <a:noFill/>
                          <a:ln>
                            <a:noFill/>
                          </a:ln>
                        </pic:spPr>
                      </pic:pic>
                    </a:graphicData>
                  </a:graphic>
                </wp:inline>
              </w:drawing>
            </w:r>
            <w:r>
              <w:rPr>
                <w:rFonts w:hint="eastAsia" w:ascii="仿宋" w:hAnsi="仿宋" w:eastAsia="仿宋" w:cs="仿宋"/>
                <w:sz w:val="24"/>
                <w:szCs w:val="32"/>
              </w:rPr>
              <w:drawing>
                <wp:inline distT="0" distB="0" distL="114300" distR="114300">
                  <wp:extent cx="676275" cy="114300"/>
                  <wp:effectExtent l="0" t="0" r="9525" b="0"/>
                  <wp:docPr id="15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34"/>
                          <pic:cNvPicPr>
                            <a:picLocks noChangeAspect="1"/>
                          </pic:cNvPicPr>
                        </pic:nvPicPr>
                        <pic:blipFill>
                          <a:blip r:embed="rId17"/>
                          <a:stretch>
                            <a:fillRect/>
                          </a:stretch>
                        </pic:blipFill>
                        <pic:spPr>
                          <a:xfrm>
                            <a:off x="0" y="0"/>
                            <a:ext cx="676275" cy="114300"/>
                          </a:xfrm>
                          <a:prstGeom prst="rect">
                            <a:avLst/>
                          </a:prstGeom>
                          <a:noFill/>
                          <a:ln>
                            <a:noFill/>
                          </a:ln>
                        </pic:spPr>
                      </pic:pic>
                    </a:graphicData>
                  </a:graphic>
                </wp:inline>
              </w:drawing>
            </w:r>
            <w:r>
              <w:rPr>
                <w:rFonts w:hint="eastAsia" w:ascii="仿宋" w:hAnsi="仿宋" w:eastAsia="仿宋" w:cs="仿宋"/>
                <w:sz w:val="24"/>
                <w:szCs w:val="32"/>
              </w:rPr>
              <w:t>50%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t>B.满意</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17</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drawing>
                <wp:inline distT="0" distB="0" distL="114300" distR="114300">
                  <wp:extent cx="571500" cy="114300"/>
                  <wp:effectExtent l="0" t="0" r="0" b="0"/>
                  <wp:docPr id="15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35"/>
                          <pic:cNvPicPr>
                            <a:picLocks noChangeAspect="1"/>
                          </pic:cNvPicPr>
                        </pic:nvPicPr>
                        <pic:blipFill>
                          <a:blip r:embed="rId18"/>
                          <a:stretch>
                            <a:fillRect/>
                          </a:stretch>
                        </pic:blipFill>
                        <pic:spPr>
                          <a:xfrm>
                            <a:off x="0" y="0"/>
                            <a:ext cx="571500" cy="114300"/>
                          </a:xfrm>
                          <a:prstGeom prst="rect">
                            <a:avLst/>
                          </a:prstGeom>
                          <a:noFill/>
                          <a:ln>
                            <a:noFill/>
                          </a:ln>
                        </pic:spPr>
                      </pic:pic>
                    </a:graphicData>
                  </a:graphic>
                </wp:inline>
              </w:drawing>
            </w:r>
            <w:r>
              <w:rPr>
                <w:rFonts w:hint="eastAsia" w:ascii="仿宋" w:hAnsi="仿宋" w:eastAsia="仿宋" w:cs="仿宋"/>
                <w:sz w:val="24"/>
                <w:szCs w:val="32"/>
              </w:rPr>
              <w:drawing>
                <wp:inline distT="0" distB="0" distL="114300" distR="114300">
                  <wp:extent cx="781050" cy="114300"/>
                  <wp:effectExtent l="0" t="0" r="0" b="0"/>
                  <wp:docPr id="15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6"/>
                          <pic:cNvPicPr>
                            <a:picLocks noChangeAspect="1"/>
                          </pic:cNvPicPr>
                        </pic:nvPicPr>
                        <pic:blipFill>
                          <a:blip r:embed="rId19"/>
                          <a:stretch>
                            <a:fillRect/>
                          </a:stretch>
                        </pic:blipFill>
                        <pic:spPr>
                          <a:xfrm>
                            <a:off x="0" y="0"/>
                            <a:ext cx="781050" cy="114300"/>
                          </a:xfrm>
                          <a:prstGeom prst="rect">
                            <a:avLst/>
                          </a:prstGeom>
                          <a:noFill/>
                          <a:ln>
                            <a:noFill/>
                          </a:ln>
                        </pic:spPr>
                      </pic:pic>
                    </a:graphicData>
                  </a:graphic>
                </wp:inline>
              </w:drawing>
            </w:r>
            <w:r>
              <w:rPr>
                <w:rFonts w:hint="eastAsia" w:ascii="仿宋" w:hAnsi="仿宋" w:eastAsia="仿宋" w:cs="仿宋"/>
                <w:sz w:val="24"/>
                <w:szCs w:val="32"/>
              </w:rPr>
              <w:t>42.5%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t>C.一般</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3</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drawing>
                <wp:inline distT="0" distB="0" distL="114300" distR="114300">
                  <wp:extent cx="95250" cy="114300"/>
                  <wp:effectExtent l="0" t="0" r="0" b="0"/>
                  <wp:docPr id="15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7"/>
                          <pic:cNvPicPr>
                            <a:picLocks noChangeAspect="1"/>
                          </pic:cNvPicPr>
                        </pic:nvPicPr>
                        <pic:blipFill>
                          <a:blip r:embed="rId20"/>
                          <a:stretch>
                            <a:fillRect/>
                          </a:stretch>
                        </pic:blipFill>
                        <pic:spPr>
                          <a:xfrm>
                            <a:off x="0" y="0"/>
                            <a:ext cx="95250" cy="114300"/>
                          </a:xfrm>
                          <a:prstGeom prst="rect">
                            <a:avLst/>
                          </a:prstGeom>
                          <a:noFill/>
                          <a:ln>
                            <a:noFill/>
                          </a:ln>
                        </pic:spPr>
                      </pic:pic>
                    </a:graphicData>
                  </a:graphic>
                </wp:inline>
              </w:drawing>
            </w:r>
            <w:r>
              <w:rPr>
                <w:rFonts w:hint="eastAsia" w:ascii="仿宋" w:hAnsi="仿宋" w:eastAsia="仿宋" w:cs="仿宋"/>
                <w:sz w:val="24"/>
                <w:szCs w:val="32"/>
              </w:rPr>
              <w:drawing>
                <wp:inline distT="0" distB="0" distL="114300" distR="114300">
                  <wp:extent cx="1257300" cy="114300"/>
                  <wp:effectExtent l="0" t="0" r="0" b="0"/>
                  <wp:docPr id="15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8"/>
                          <pic:cNvPicPr>
                            <a:picLocks noChangeAspect="1"/>
                          </pic:cNvPicPr>
                        </pic:nvPicPr>
                        <pic:blipFill>
                          <a:blip r:embed="rId21"/>
                          <a:stretch>
                            <a:fillRect/>
                          </a:stretch>
                        </pic:blipFill>
                        <pic:spPr>
                          <a:xfrm>
                            <a:off x="0" y="0"/>
                            <a:ext cx="1257300" cy="114300"/>
                          </a:xfrm>
                          <a:prstGeom prst="rect">
                            <a:avLst/>
                          </a:prstGeom>
                          <a:noFill/>
                          <a:ln>
                            <a:noFill/>
                          </a:ln>
                        </pic:spPr>
                      </pic:pic>
                    </a:graphicData>
                  </a:graphic>
                </wp:inline>
              </w:drawing>
            </w:r>
            <w:r>
              <w:rPr>
                <w:rFonts w:hint="eastAsia" w:ascii="仿宋" w:hAnsi="仿宋" w:eastAsia="仿宋" w:cs="仿宋"/>
                <w:sz w:val="24"/>
                <w:szCs w:val="32"/>
              </w:rPr>
              <w:t>7.5%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t>D.不满意</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0</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drawing>
                <wp:inline distT="0" distB="0" distL="114300" distR="114300">
                  <wp:extent cx="1352550" cy="114300"/>
                  <wp:effectExtent l="0" t="0" r="0" b="0"/>
                  <wp:docPr id="15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9"/>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sz w:val="24"/>
                <w:szCs w:val="32"/>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t>E.非常不满意</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0</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drawing>
                <wp:inline distT="0" distB="0" distL="114300" distR="114300">
                  <wp:extent cx="1352550" cy="114300"/>
                  <wp:effectExtent l="0" t="0" r="0" b="0"/>
                  <wp:docPr id="15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0"/>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sz w:val="24"/>
                <w:szCs w:val="32"/>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r>
              <w:rPr>
                <w:rFonts w:hint="eastAsia" w:ascii="仿宋" w:hAnsi="仿宋" w:eastAsia="仿宋" w:cs="仿宋"/>
                <w:sz w:val="24"/>
                <w:szCs w:val="32"/>
              </w:rPr>
              <w:t>本题有效填写人次</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center"/>
              <w:rPr>
                <w:rFonts w:hint="eastAsia" w:ascii="仿宋" w:hAnsi="仿宋" w:eastAsia="仿宋" w:cs="仿宋"/>
                <w:sz w:val="24"/>
                <w:szCs w:val="32"/>
              </w:rPr>
            </w:pPr>
            <w:r>
              <w:rPr>
                <w:rFonts w:hint="eastAsia" w:ascii="仿宋" w:hAnsi="仿宋" w:eastAsia="仿宋" w:cs="仿宋"/>
                <w:sz w:val="24"/>
                <w:szCs w:val="32"/>
              </w:rPr>
              <w:t>40</w:t>
            </w:r>
          </w:p>
        </w:tc>
        <w:tc>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vAlign w:val="center"/>
          </w:tcPr>
          <w:p>
            <w:pPr>
              <w:jc w:val="left"/>
              <w:rPr>
                <w:rFonts w:hint="eastAsia" w:ascii="仿宋" w:hAnsi="仿宋" w:eastAsia="仿宋" w:cs="仿宋"/>
                <w:sz w:val="24"/>
                <w:szCs w:val="32"/>
              </w:rPr>
            </w:pPr>
          </w:p>
        </w:tc>
      </w:tr>
    </w:tbl>
    <w:p>
      <w:pPr>
        <w:pStyle w:val="2"/>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outlineLvl w:val="1"/>
        <w:rPr>
          <w:rFonts w:hint="eastAsia"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（四）可持续性分析</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可持续性分别从体制机制改革、干部队伍建设两个方面进行分析，共设置两个二级指标两个三级指标。可持续性指标分值10分，实际得分7分，得分率70%。各分项指标得分情况如下表4-4所示：</w:t>
      </w:r>
    </w:p>
    <w:p>
      <w:pPr>
        <w:pStyle w:val="2"/>
        <w:ind w:firstLine="560" w:firstLineChars="200"/>
        <w:jc w:val="center"/>
        <w:rPr>
          <w:rFonts w:hint="default" w:cs="Times New Roman"/>
          <w:b w:val="0"/>
          <w:bCs w:val="0"/>
          <w:kern w:val="2"/>
          <w:sz w:val="28"/>
          <w:szCs w:val="28"/>
          <w:highlight w:val="none"/>
          <w:lang w:val="en-US" w:eastAsia="zh-CN" w:bidi="ar-SA"/>
        </w:rPr>
      </w:pPr>
      <w:r>
        <w:rPr>
          <w:rFonts w:hint="eastAsia" w:cs="Times New Roman"/>
          <w:b w:val="0"/>
          <w:bCs w:val="0"/>
          <w:kern w:val="2"/>
          <w:sz w:val="28"/>
          <w:szCs w:val="28"/>
          <w:highlight w:val="none"/>
          <w:lang w:val="en-US" w:eastAsia="zh-CN" w:bidi="ar-SA"/>
        </w:rPr>
        <w:t>表4-4 可持续性得分情况表</w:t>
      </w:r>
    </w:p>
    <w:tbl>
      <w:tblPr>
        <w:tblStyle w:val="7"/>
        <w:tblW w:w="4998" w:type="pct"/>
        <w:jc w:val="center"/>
        <w:shd w:val="clear" w:color="auto" w:fill="auto"/>
        <w:tblLayout w:type="autofit"/>
        <w:tblCellMar>
          <w:top w:w="0" w:type="dxa"/>
          <w:left w:w="0" w:type="dxa"/>
          <w:bottom w:w="0" w:type="dxa"/>
          <w:right w:w="0" w:type="dxa"/>
        </w:tblCellMar>
      </w:tblPr>
      <w:tblGrid>
        <w:gridCol w:w="1182"/>
        <w:gridCol w:w="3574"/>
        <w:gridCol w:w="1187"/>
        <w:gridCol w:w="1189"/>
        <w:gridCol w:w="1189"/>
      </w:tblGrid>
      <w:tr>
        <w:tblPrEx>
          <w:shd w:val="clear" w:color="auto" w:fill="auto"/>
          <w:tblCellMar>
            <w:top w:w="0" w:type="dxa"/>
            <w:left w:w="0" w:type="dxa"/>
            <w:bottom w:w="0" w:type="dxa"/>
            <w:right w:w="0" w:type="dxa"/>
          </w:tblCellMar>
        </w:tblPrEx>
        <w:trPr>
          <w:trHeight w:val="397" w:hRule="atLeast"/>
          <w:tblHeader/>
          <w:jc w:val="center"/>
        </w:trPr>
        <w:tc>
          <w:tcPr>
            <w:tcW w:w="71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二级指标</w:t>
            </w:r>
          </w:p>
        </w:tc>
        <w:tc>
          <w:tcPr>
            <w:tcW w:w="214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三级指标</w:t>
            </w:r>
          </w:p>
        </w:tc>
        <w:tc>
          <w:tcPr>
            <w:tcW w:w="71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权重</w:t>
            </w:r>
          </w:p>
        </w:tc>
        <w:tc>
          <w:tcPr>
            <w:tcW w:w="71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 xml:space="preserve"> 得分 </w:t>
            </w:r>
          </w:p>
        </w:tc>
        <w:tc>
          <w:tcPr>
            <w:tcW w:w="71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highlight w:val="none"/>
                <w:u w:val="none"/>
              </w:rPr>
            </w:pPr>
            <w:r>
              <w:rPr>
                <w:rFonts w:hint="eastAsia" w:ascii="仿宋" w:hAnsi="仿宋" w:eastAsia="仿宋" w:cs="仿宋"/>
                <w:b/>
                <w:bCs/>
                <w:i w:val="0"/>
                <w:color w:val="000000"/>
                <w:kern w:val="0"/>
                <w:sz w:val="20"/>
                <w:szCs w:val="20"/>
                <w:highlight w:val="none"/>
                <w:u w:val="none"/>
                <w:lang w:val="en-US" w:eastAsia="zh-CN" w:bidi="ar"/>
              </w:rPr>
              <w:t>得分率</w:t>
            </w:r>
          </w:p>
        </w:tc>
      </w:tr>
      <w:tr>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rPr>
            </w:pPr>
            <w:r>
              <w:rPr>
                <w:rFonts w:hint="eastAsia" w:ascii="仿宋" w:hAnsi="仿宋" w:eastAsia="仿宋" w:cs="仿宋"/>
                <w:i w:val="0"/>
                <w:color w:val="000000"/>
                <w:kern w:val="0"/>
                <w:sz w:val="20"/>
                <w:szCs w:val="20"/>
                <w:highlight w:val="none"/>
                <w:u w:val="none"/>
                <w:lang w:val="en-US" w:eastAsia="zh-CN" w:bidi="ar"/>
              </w:rPr>
              <w:t>D1体制机制改革</w:t>
            </w: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D1-1体制机制改革情况</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6</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3</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50%</w:t>
            </w:r>
          </w:p>
        </w:tc>
      </w:tr>
      <w:tr>
        <w:tblPrEx>
          <w:tblCellMar>
            <w:top w:w="0" w:type="dxa"/>
            <w:left w:w="0" w:type="dxa"/>
            <w:bottom w:w="0" w:type="dxa"/>
            <w:right w:w="0" w:type="dxa"/>
          </w:tblCellMar>
        </w:tblPrEx>
        <w:trPr>
          <w:trHeight w:val="397" w:hRule="atLeast"/>
          <w:jc w:val="center"/>
        </w:trPr>
        <w:tc>
          <w:tcPr>
            <w:tcW w:w="710" w:type="pct"/>
            <w:tcBorders>
              <w:top w:val="single" w:color="000000" w:sz="4" w:space="0"/>
              <w:left w:val="single" w:color="000000" w:sz="4" w:space="0"/>
              <w:right w:val="single" w:color="000000" w:sz="4" w:space="0"/>
            </w:tcBorders>
            <w:shd w:val="clear" w:color="auto" w:fill="auto"/>
            <w:tcMar>
              <w:top w:w="9" w:type="dxa"/>
              <w:left w:w="9" w:type="dxa"/>
              <w:right w:w="9" w:type="dxa"/>
            </w:tcMar>
            <w:vAlign w:val="center"/>
          </w:tcPr>
          <w:p>
            <w:pPr>
              <w:jc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D2干部队伍建设</w:t>
            </w:r>
          </w:p>
        </w:tc>
        <w:tc>
          <w:tcPr>
            <w:tcW w:w="214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D2-1干部培训</w:t>
            </w:r>
          </w:p>
        </w:tc>
        <w:tc>
          <w:tcPr>
            <w:tcW w:w="7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4</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4</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highlight w:val="none"/>
                <w:u w:val="none"/>
              </w:rPr>
            </w:pPr>
            <w:r>
              <w:rPr>
                <w:rFonts w:hint="eastAsia" w:ascii="仿宋" w:hAnsi="仿宋" w:eastAsia="仿宋" w:cs="仿宋"/>
                <w:i w:val="0"/>
                <w:color w:val="000000"/>
                <w:sz w:val="20"/>
                <w:szCs w:val="20"/>
                <w:highlight w:val="none"/>
                <w:u w:val="none"/>
                <w:lang w:val="en-US" w:eastAsia="zh-CN"/>
              </w:rPr>
              <w:t>100%</w:t>
            </w:r>
          </w:p>
        </w:tc>
      </w:tr>
      <w:tr>
        <w:tblPrEx>
          <w:tblCellMar>
            <w:top w:w="0" w:type="dxa"/>
            <w:left w:w="0" w:type="dxa"/>
            <w:bottom w:w="0" w:type="dxa"/>
            <w:right w:w="0" w:type="dxa"/>
          </w:tblCellMar>
        </w:tblPrEx>
        <w:trPr>
          <w:trHeight w:val="397" w:hRule="atLeast"/>
          <w:jc w:val="center"/>
        </w:trPr>
        <w:tc>
          <w:tcPr>
            <w:tcW w:w="2857"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highlight w:val="none"/>
                <w:u w:val="none"/>
              </w:rPr>
            </w:pPr>
            <w:r>
              <w:rPr>
                <w:rFonts w:hint="eastAsia" w:ascii="仿宋" w:hAnsi="仿宋" w:eastAsia="仿宋" w:cs="仿宋"/>
                <w:i w:val="0"/>
                <w:color w:val="000000"/>
                <w:kern w:val="0"/>
                <w:sz w:val="20"/>
                <w:szCs w:val="20"/>
                <w:highlight w:val="none"/>
                <w:u w:val="none"/>
                <w:lang w:val="en-US" w:eastAsia="zh-CN" w:bidi="ar"/>
              </w:rPr>
              <w:t>合计</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10</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7</w:t>
            </w:r>
          </w:p>
        </w:tc>
        <w:tc>
          <w:tcPr>
            <w:tcW w:w="714"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0"/>
                <w:szCs w:val="20"/>
                <w:highlight w:val="none"/>
                <w:u w:val="none"/>
                <w:lang w:val="en-US" w:eastAsia="zh-CN"/>
              </w:rPr>
            </w:pPr>
            <w:r>
              <w:rPr>
                <w:rFonts w:hint="eastAsia" w:ascii="仿宋" w:hAnsi="仿宋" w:eastAsia="仿宋" w:cs="仿宋"/>
                <w:i w:val="0"/>
                <w:color w:val="000000"/>
                <w:sz w:val="20"/>
                <w:szCs w:val="20"/>
                <w:highlight w:val="none"/>
                <w:u w:val="none"/>
                <w:lang w:val="en-US" w:eastAsia="zh-CN"/>
              </w:rPr>
              <w:t>70%</w:t>
            </w:r>
          </w:p>
        </w:tc>
      </w:tr>
    </w:tbl>
    <w:p>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ascii="仿宋_GB2312" w:hAnsi="Times New Roman" w:eastAsia="仿宋_GB2312" w:cs="Times New Roman"/>
          <w:b/>
          <w:bCs/>
          <w:kern w:val="2"/>
          <w:sz w:val="28"/>
          <w:szCs w:val="28"/>
          <w:highlight w:val="none"/>
          <w:lang w:val="en-US" w:eastAsia="zh-CN" w:bidi="ar-SA"/>
        </w:rPr>
      </w:pPr>
      <w:r>
        <w:rPr>
          <w:rFonts w:hint="eastAsia" w:ascii="仿宋_GB2312" w:eastAsia="仿宋_GB2312" w:cs="Times New Roman"/>
          <w:b/>
          <w:bCs/>
          <w:kern w:val="2"/>
          <w:sz w:val="28"/>
          <w:szCs w:val="28"/>
          <w:highlight w:val="none"/>
          <w:lang w:val="en-US" w:eastAsia="zh-CN" w:bidi="ar-SA"/>
        </w:rPr>
        <w:t>1.</w:t>
      </w:r>
      <w:r>
        <w:rPr>
          <w:rFonts w:hint="default" w:ascii="仿宋_GB2312" w:hAnsi="Times New Roman" w:eastAsia="仿宋_GB2312" w:cs="Times New Roman"/>
          <w:b/>
          <w:bCs/>
          <w:kern w:val="2"/>
          <w:sz w:val="28"/>
          <w:szCs w:val="28"/>
          <w:highlight w:val="none"/>
          <w:lang w:val="en-US" w:eastAsia="zh-CN" w:bidi="ar-SA"/>
        </w:rPr>
        <w:t>D1</w:t>
      </w:r>
      <w:r>
        <w:rPr>
          <w:rFonts w:hint="eastAsia" w:ascii="仿宋_GB2312" w:eastAsia="仿宋_GB2312" w:cs="Times New Roman"/>
          <w:b/>
          <w:bCs/>
          <w:kern w:val="2"/>
          <w:sz w:val="28"/>
          <w:szCs w:val="28"/>
          <w:highlight w:val="none"/>
          <w:lang w:val="en-US" w:eastAsia="zh-CN" w:bidi="ar-SA"/>
        </w:rPr>
        <w:t>体制机制改革，权重6分，得分3分</w:t>
      </w:r>
    </w:p>
    <w:p>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ascii="仿宋_GB2312" w:eastAsia="仿宋_GB2312" w:cs="Times New Roman"/>
          <w:b/>
          <w:bCs/>
          <w:kern w:val="2"/>
          <w:sz w:val="28"/>
          <w:szCs w:val="28"/>
          <w:highlight w:val="none"/>
          <w:lang w:val="en-US" w:eastAsia="zh-CN" w:bidi="ar-SA"/>
        </w:rPr>
      </w:pPr>
      <w:r>
        <w:rPr>
          <w:rFonts w:hint="eastAsia" w:ascii="仿宋_GB2312" w:eastAsia="仿宋_GB2312" w:cs="Times New Roman"/>
          <w:b/>
          <w:bCs/>
          <w:kern w:val="2"/>
          <w:sz w:val="28"/>
          <w:szCs w:val="28"/>
          <w:highlight w:val="none"/>
          <w:lang w:val="en-US" w:eastAsia="zh-CN" w:bidi="ar-SA"/>
        </w:rPr>
        <w:t>（1）D1-1体制机制改革情况</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hAnsi="Times New Roman" w:cs="Times New Roman"/>
          <w:b w:val="0"/>
          <w:bCs w:val="0"/>
          <w:kern w:val="2"/>
          <w:sz w:val="28"/>
          <w:szCs w:val="28"/>
          <w:highlight w:val="none"/>
          <w:lang w:val="en-US" w:eastAsia="zh-CN" w:bidi="ar-SA"/>
        </w:rPr>
      </w:pPr>
      <w:r>
        <w:rPr>
          <w:rFonts w:hint="eastAsia" w:hAnsi="Times New Roman" w:cs="Times New Roman"/>
          <w:b w:val="0"/>
          <w:bCs w:val="0"/>
          <w:kern w:val="2"/>
          <w:sz w:val="28"/>
          <w:szCs w:val="28"/>
          <w:highlight w:val="none"/>
          <w:lang w:val="en-US" w:eastAsia="zh-CN" w:bidi="ar-SA"/>
        </w:rPr>
        <w:t>①制度保障方面。根据中央国务院及山西省层面的若干政策文件，如：《中共中央关于建立老干部退休制度的决定》、《中组部、人事部关于加强退休干部工作的意见》、《山西省关于进一步加强和改进离退休干部工作的实施意见》等，均对离退休干部政治待遇、生活待遇等方面的落实工作进行了制度规范，为临猗县老干部局履职提供了长效制度保障。</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hAnsi="Times New Roman" w:cs="Times New Roman"/>
          <w:b w:val="0"/>
          <w:bCs w:val="0"/>
          <w:kern w:val="2"/>
          <w:sz w:val="28"/>
          <w:szCs w:val="28"/>
          <w:highlight w:val="none"/>
          <w:lang w:val="en-US" w:eastAsia="zh-CN" w:bidi="ar-SA"/>
        </w:rPr>
      </w:pPr>
      <w:r>
        <w:rPr>
          <w:rFonts w:hint="eastAsia" w:hAnsi="Times New Roman" w:cs="Times New Roman"/>
          <w:b w:val="0"/>
          <w:bCs w:val="0"/>
          <w:kern w:val="2"/>
          <w:sz w:val="28"/>
          <w:szCs w:val="28"/>
          <w:highlight w:val="none"/>
          <w:lang w:val="en-US" w:eastAsia="zh-CN" w:bidi="ar-SA"/>
        </w:rPr>
        <w:t>②人员配置方面。临猗县老干部局现有人员12人，全县离退休干部共4041人，每年新增人数在100名左右，远远达不到1比30的服务要求，应继续优化队伍结构。</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hAnsi="Times New Roman" w:cs="Times New Roman"/>
          <w:b w:val="0"/>
          <w:bCs w:val="0"/>
          <w:kern w:val="2"/>
          <w:sz w:val="28"/>
          <w:szCs w:val="28"/>
          <w:highlight w:val="none"/>
          <w:lang w:val="en-US" w:eastAsia="zh-CN" w:bidi="ar-SA"/>
        </w:rPr>
      </w:pPr>
      <w:r>
        <w:rPr>
          <w:rFonts w:hint="eastAsia" w:hAnsi="Times New Roman" w:cs="Times New Roman"/>
          <w:b w:val="0"/>
          <w:bCs w:val="0"/>
          <w:kern w:val="2"/>
          <w:sz w:val="28"/>
          <w:szCs w:val="28"/>
          <w:highlight w:val="none"/>
          <w:lang w:val="en-US" w:eastAsia="zh-CN" w:bidi="ar-SA"/>
        </w:rPr>
        <w:t>综上，依据评分标准，具备长效机制和稳定的政策支持，得3分；人员配置合理得3分，否则不得分；该指标权重6分，得分3分。</w:t>
      </w:r>
    </w:p>
    <w:p>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ascii="仿宋_GB2312" w:hAnsi="Times New Roman" w:eastAsia="仿宋_GB2312" w:cs="Times New Roman"/>
          <w:b/>
          <w:bCs/>
          <w:kern w:val="2"/>
          <w:sz w:val="28"/>
          <w:szCs w:val="28"/>
          <w:highlight w:val="none"/>
          <w:lang w:val="en-US" w:eastAsia="zh-CN" w:bidi="ar-SA"/>
        </w:rPr>
      </w:pPr>
      <w:r>
        <w:rPr>
          <w:rFonts w:hint="eastAsia" w:ascii="仿宋_GB2312" w:eastAsia="仿宋_GB2312" w:cs="Times New Roman"/>
          <w:b/>
          <w:bCs/>
          <w:kern w:val="2"/>
          <w:sz w:val="28"/>
          <w:szCs w:val="28"/>
          <w:highlight w:val="none"/>
          <w:lang w:val="en-US" w:eastAsia="zh-CN" w:bidi="ar-SA"/>
        </w:rPr>
        <w:t>2.</w:t>
      </w:r>
      <w:r>
        <w:rPr>
          <w:rFonts w:hint="default" w:ascii="仿宋_GB2312" w:hAnsi="Times New Roman" w:eastAsia="仿宋_GB2312" w:cs="Times New Roman"/>
          <w:b/>
          <w:bCs/>
          <w:kern w:val="2"/>
          <w:sz w:val="28"/>
          <w:szCs w:val="28"/>
          <w:highlight w:val="none"/>
          <w:lang w:val="en-US" w:eastAsia="zh-CN" w:bidi="ar-SA"/>
        </w:rPr>
        <w:t>D</w:t>
      </w:r>
      <w:r>
        <w:rPr>
          <w:rFonts w:hint="eastAsia" w:ascii="仿宋_GB2312" w:hAnsi="Times New Roman" w:eastAsia="仿宋_GB2312" w:cs="Times New Roman"/>
          <w:b/>
          <w:bCs/>
          <w:kern w:val="2"/>
          <w:sz w:val="28"/>
          <w:szCs w:val="28"/>
          <w:highlight w:val="none"/>
          <w:lang w:val="en-US" w:eastAsia="zh-CN" w:bidi="ar-SA"/>
        </w:rPr>
        <w:t>2-1</w:t>
      </w:r>
      <w:r>
        <w:rPr>
          <w:rFonts w:hint="eastAsia" w:ascii="仿宋_GB2312" w:eastAsia="仿宋_GB2312" w:cs="Times New Roman"/>
          <w:b/>
          <w:bCs/>
          <w:kern w:val="2"/>
          <w:sz w:val="28"/>
          <w:szCs w:val="28"/>
          <w:highlight w:val="none"/>
          <w:lang w:val="en-US" w:eastAsia="zh-CN" w:bidi="ar-SA"/>
        </w:rPr>
        <w:t>干部培训，权重4分，得分4分</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hAnsi="Times New Roman" w:cs="Times New Roman"/>
          <w:b w:val="0"/>
          <w:bCs w:val="0"/>
          <w:kern w:val="2"/>
          <w:sz w:val="28"/>
          <w:szCs w:val="28"/>
          <w:highlight w:val="none"/>
          <w:lang w:val="en-US" w:eastAsia="zh-CN" w:bidi="ar-SA"/>
        </w:rPr>
      </w:pPr>
      <w:r>
        <w:rPr>
          <w:rFonts w:hint="eastAsia" w:hAnsi="Times New Roman" w:cs="Times New Roman"/>
          <w:b w:val="0"/>
          <w:bCs w:val="0"/>
          <w:kern w:val="2"/>
          <w:sz w:val="28"/>
          <w:szCs w:val="28"/>
          <w:highlight w:val="none"/>
          <w:lang w:val="en-US" w:eastAsia="zh-CN" w:bidi="ar-SA"/>
        </w:rPr>
        <w:t>临猗县老干部局制定了学习教育制度，要求全局人员要努力学习业务知识，不断提高政治素质和业务能力，每周一集体学习1次，每半年组织1次业务知识培训，对临猗县老干部局工作人员履行职责能力和业务水平提升提供了长效保障。依据评分标准，部门在职工业务培训方面制定长期规划，能为日益增长的离退休干部及老年人群体高质量服务管理提供业务水平保障得2分，按照计划开展了培训工作，得2分；该指标权重4分，得分4分。</w:t>
      </w:r>
    </w:p>
    <w:p>
      <w:pPr>
        <w:pStyle w:val="10"/>
        <w:keepNext w:val="0"/>
        <w:keepLines w:val="0"/>
        <w:pageBreakBefore w:val="0"/>
        <w:widowControl w:val="0"/>
        <w:kinsoku/>
        <w:wordWrap/>
        <w:overflowPunct/>
        <w:topLinePunct w:val="0"/>
        <w:autoSpaceDE/>
        <w:autoSpaceDN/>
        <w:bidi w:val="0"/>
        <w:adjustRightInd/>
        <w:snapToGrid/>
        <w:spacing w:line="580" w:lineRule="exact"/>
        <w:ind w:firstLine="562"/>
        <w:textAlignment w:val="auto"/>
        <w:outlineLvl w:val="0"/>
        <w:rPr>
          <w:rFonts w:ascii="仿宋" w:hAnsi="仿宋" w:eastAsia="仿宋"/>
          <w:b/>
          <w:highlight w:val="none"/>
        </w:rPr>
      </w:pPr>
      <w:bookmarkStart w:id="71" w:name="_Toc10483_WPSOffice_Level1"/>
      <w:bookmarkStart w:id="72" w:name="_Toc17147_WPSOffice_Level1"/>
      <w:bookmarkStart w:id="73" w:name="_Toc19816_WPSOffice_Level1"/>
      <w:bookmarkStart w:id="74" w:name="_Toc23522_WPSOffice_Level1"/>
      <w:bookmarkStart w:id="75" w:name="_Toc1194_WPSOffice_Level1"/>
      <w:bookmarkStart w:id="76" w:name="_Toc112"/>
      <w:bookmarkStart w:id="77" w:name="_Toc29054_WPSOffice_Level1"/>
      <w:bookmarkStart w:id="78" w:name="_Toc19468_WPSOffice_Level1"/>
      <w:r>
        <w:rPr>
          <w:rFonts w:hint="eastAsia" w:ascii="仿宋" w:hAnsi="仿宋" w:eastAsia="仿宋"/>
          <w:b/>
          <w:highlight w:val="none"/>
          <w:lang w:val="en-US" w:eastAsia="zh-CN"/>
        </w:rPr>
        <w:t>五</w:t>
      </w:r>
      <w:r>
        <w:rPr>
          <w:rFonts w:hint="eastAsia" w:ascii="仿宋" w:hAnsi="仿宋" w:eastAsia="仿宋"/>
          <w:b/>
          <w:highlight w:val="none"/>
        </w:rPr>
        <w:t>、</w:t>
      </w:r>
      <w:r>
        <w:rPr>
          <w:rFonts w:ascii="仿宋" w:hAnsi="仿宋" w:eastAsia="仿宋"/>
          <w:b/>
          <w:highlight w:val="none"/>
        </w:rPr>
        <w:t>总体评分结果</w:t>
      </w:r>
      <w:r>
        <w:rPr>
          <w:rFonts w:hint="eastAsia" w:ascii="仿宋" w:hAnsi="仿宋" w:eastAsia="仿宋"/>
          <w:b/>
          <w:highlight w:val="none"/>
        </w:rPr>
        <w:t>及评价结论</w:t>
      </w:r>
      <w:bookmarkEnd w:id="71"/>
      <w:bookmarkEnd w:id="72"/>
      <w:bookmarkEnd w:id="73"/>
      <w:bookmarkEnd w:id="74"/>
      <w:bookmarkEnd w:id="75"/>
      <w:bookmarkEnd w:id="76"/>
      <w:bookmarkEnd w:id="77"/>
      <w:bookmarkEnd w:id="78"/>
    </w:p>
    <w:p>
      <w:pPr>
        <w:pStyle w:val="10"/>
        <w:keepNext w:val="0"/>
        <w:keepLines w:val="0"/>
        <w:pageBreakBefore w:val="0"/>
        <w:widowControl w:val="0"/>
        <w:kinsoku/>
        <w:wordWrap/>
        <w:overflowPunct/>
        <w:topLinePunct w:val="0"/>
        <w:autoSpaceDE/>
        <w:autoSpaceDN/>
        <w:bidi w:val="0"/>
        <w:adjustRightInd/>
        <w:snapToGrid/>
        <w:spacing w:line="580" w:lineRule="exact"/>
        <w:ind w:firstLine="562"/>
        <w:textAlignment w:val="auto"/>
        <w:outlineLvl w:val="1"/>
        <w:rPr>
          <w:rFonts w:ascii="仿宋" w:hAnsi="仿宋" w:eastAsia="仿宋"/>
          <w:b/>
          <w:highlight w:val="none"/>
        </w:rPr>
      </w:pPr>
      <w:bookmarkStart w:id="79" w:name="_Toc18277_WPSOffice_Level2"/>
      <w:bookmarkStart w:id="80" w:name="_Toc23770_WPSOffice_Level2"/>
      <w:bookmarkStart w:id="81" w:name="_Toc9978_WPSOffice_Level2"/>
      <w:bookmarkStart w:id="82" w:name="_Toc18405_WPSOffice_Level2"/>
      <w:bookmarkStart w:id="83" w:name="_Toc11387_WPSOffice_Level2"/>
      <w:bookmarkStart w:id="84" w:name="_Toc6092_WPSOffice_Level2"/>
      <w:bookmarkStart w:id="85" w:name="_Toc11521_WPSOffice_Level2"/>
      <w:bookmarkStart w:id="86" w:name="_Toc25247_WPSOffice_Level2"/>
      <w:bookmarkStart w:id="87" w:name="_Toc17155_WPSOffice_Level2"/>
      <w:bookmarkStart w:id="88" w:name="_Toc25843"/>
      <w:bookmarkStart w:id="89" w:name="_Toc22127_WPSOffice_Level2"/>
      <w:r>
        <w:rPr>
          <w:rFonts w:hint="eastAsia" w:ascii="仿宋" w:hAnsi="仿宋" w:eastAsia="仿宋"/>
          <w:b/>
          <w:highlight w:val="none"/>
        </w:rPr>
        <w:t>（一）</w:t>
      </w:r>
      <w:bookmarkEnd w:id="79"/>
      <w:bookmarkEnd w:id="80"/>
      <w:bookmarkEnd w:id="81"/>
      <w:bookmarkEnd w:id="82"/>
      <w:bookmarkEnd w:id="83"/>
      <w:bookmarkEnd w:id="84"/>
      <w:bookmarkEnd w:id="85"/>
      <w:r>
        <w:rPr>
          <w:rFonts w:hint="eastAsia" w:ascii="仿宋" w:hAnsi="仿宋" w:eastAsia="仿宋"/>
          <w:b/>
          <w:highlight w:val="none"/>
        </w:rPr>
        <w:t>总体评分结果</w:t>
      </w:r>
      <w:bookmarkEnd w:id="86"/>
      <w:bookmarkEnd w:id="87"/>
      <w:bookmarkEnd w:id="88"/>
      <w:bookmarkEnd w:id="89"/>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仿宋_GB2312" w:hAnsi="Times New Roman" w:eastAsia="仿宋_GB2312" w:cs="Times New Roman"/>
          <w:b w:val="0"/>
          <w:bCs w:val="0"/>
          <w:kern w:val="2"/>
          <w:sz w:val="28"/>
          <w:szCs w:val="28"/>
          <w:highlight w:val="none"/>
          <w:lang w:val="en-US" w:eastAsia="zh-CN" w:bidi="ar-SA"/>
        </w:rPr>
      </w:pPr>
      <w:bookmarkStart w:id="90" w:name="_Toc6205_WPSOffice_Level2"/>
      <w:bookmarkStart w:id="91" w:name="_Toc16468_WPSOffice_Level2"/>
      <w:bookmarkStart w:id="92" w:name="_Toc28416"/>
      <w:bookmarkStart w:id="93" w:name="_Toc30705_WPSOffice_Level2"/>
      <w:bookmarkStart w:id="94" w:name="_Toc31433_WPSOffice_Level2"/>
      <w:bookmarkStart w:id="95" w:name="_Toc284_WPSOffice_Level2"/>
      <w:bookmarkStart w:id="96" w:name="_Toc17477_WPSOffice_Level2"/>
      <w:bookmarkStart w:id="97" w:name="_Toc24529_WPSOffice_Level2"/>
      <w:bookmarkStart w:id="98" w:name="_Toc29108_WPSOffice_Level2"/>
      <w:bookmarkStart w:id="99" w:name="_Toc2356_WPSOffice_Level2"/>
      <w:bookmarkStart w:id="100" w:name="_Toc13565_WPSOffice_Level2"/>
      <w:r>
        <w:rPr>
          <w:rFonts w:hint="eastAsia" w:ascii="仿宋_GB2312" w:hAnsi="Times New Roman" w:eastAsia="仿宋_GB2312" w:cs="Times New Roman"/>
          <w:b w:val="0"/>
          <w:bCs w:val="0"/>
          <w:kern w:val="2"/>
          <w:sz w:val="28"/>
          <w:szCs w:val="28"/>
          <w:highlight w:val="none"/>
          <w:lang w:val="en-US" w:eastAsia="zh-CN" w:bidi="ar-SA"/>
        </w:rPr>
        <w:t>绩效评价项目组通过实施数据采集、现场核查、问卷调查、重点访谈、汇总分析等程序，依据相关文件和经审定的评价指标体系及评分标准，对临猗县老干部局2020年度整体支出绩效进行客观评价，最终结果为：总得分为</w:t>
      </w:r>
      <w:r>
        <w:rPr>
          <w:rFonts w:hint="eastAsia" w:ascii="仿宋_GB2312" w:eastAsia="仿宋_GB2312" w:cs="Times New Roman"/>
          <w:b w:val="0"/>
          <w:bCs w:val="0"/>
          <w:kern w:val="2"/>
          <w:sz w:val="28"/>
          <w:szCs w:val="28"/>
          <w:highlight w:val="none"/>
          <w:lang w:val="en-US" w:eastAsia="zh-CN" w:bidi="ar-SA"/>
        </w:rPr>
        <w:t>87.69</w:t>
      </w:r>
      <w:r>
        <w:rPr>
          <w:rFonts w:hint="eastAsia" w:ascii="仿宋_GB2312" w:hAnsi="Times New Roman" w:eastAsia="仿宋_GB2312" w:cs="Times New Roman"/>
          <w:b w:val="0"/>
          <w:bCs w:val="0"/>
          <w:kern w:val="2"/>
          <w:sz w:val="28"/>
          <w:szCs w:val="28"/>
          <w:highlight w:val="none"/>
          <w:lang w:val="en-US" w:eastAsia="zh-CN" w:bidi="ar-SA"/>
        </w:rPr>
        <w:t>分，绩效评级为“</w:t>
      </w:r>
      <w:r>
        <w:rPr>
          <w:rFonts w:hint="eastAsia" w:ascii="仿宋_GB2312" w:eastAsia="仿宋_GB2312" w:cs="Times New Roman"/>
          <w:b w:val="0"/>
          <w:bCs w:val="0"/>
          <w:kern w:val="2"/>
          <w:sz w:val="28"/>
          <w:szCs w:val="28"/>
          <w:highlight w:val="none"/>
          <w:lang w:val="en-US" w:eastAsia="zh-CN" w:bidi="ar-SA"/>
        </w:rPr>
        <w:t>良</w:t>
      </w:r>
      <w:r>
        <w:rPr>
          <w:rFonts w:hint="eastAsia" w:ascii="仿宋_GB2312" w:hAnsi="Times New Roman" w:eastAsia="仿宋_GB2312" w:cs="Times New Roman"/>
          <w:b w:val="0"/>
          <w:bCs w:val="0"/>
          <w:kern w:val="2"/>
          <w:sz w:val="28"/>
          <w:szCs w:val="28"/>
          <w:highlight w:val="none"/>
          <w:lang w:val="en-US" w:eastAsia="zh-CN" w:bidi="ar-SA"/>
        </w:rPr>
        <w:t>”，各指标详细打分情况见附件1。具体得分情况见下表：</w:t>
      </w:r>
    </w:p>
    <w:p>
      <w:pPr>
        <w:pStyle w:val="11"/>
        <w:framePr w:wrap="auto" w:vAnchor="margin" w:hAnchor="text" w:yAlign="inline"/>
        <w:adjustRightInd w:val="0"/>
        <w:snapToGrid w:val="0"/>
        <w:spacing w:line="560" w:lineRule="exact"/>
        <w:ind w:firstLine="0"/>
        <w:jc w:val="center"/>
        <w:rPr>
          <w:rFonts w:ascii="仿宋" w:hAnsi="仿宋" w:eastAsia="仿宋" w:cs="楷体_GB2312"/>
          <w:b/>
          <w:bCs/>
          <w:color w:val="auto"/>
          <w:szCs w:val="24"/>
          <w:highlight w:val="none"/>
          <w:lang w:val="zh-TW"/>
        </w:rPr>
      </w:pPr>
      <w:r>
        <w:rPr>
          <w:rFonts w:hint="eastAsia" w:ascii="仿宋" w:hAnsi="仿宋" w:eastAsia="仿宋" w:cs="楷体_GB2312"/>
          <w:b/>
          <w:bCs/>
          <w:color w:val="auto"/>
          <w:szCs w:val="24"/>
          <w:highlight w:val="none"/>
          <w:lang w:val="zh-TW"/>
        </w:rPr>
        <w:t>表</w:t>
      </w:r>
      <w:r>
        <w:rPr>
          <w:rFonts w:hint="eastAsia" w:ascii="仿宋" w:hAnsi="仿宋" w:eastAsia="仿宋" w:cs="楷体_GB2312"/>
          <w:b/>
          <w:bCs/>
          <w:color w:val="auto"/>
          <w:szCs w:val="24"/>
          <w:highlight w:val="none"/>
          <w:lang w:val="en-US" w:eastAsia="zh-CN"/>
        </w:rPr>
        <w:t>5</w:t>
      </w:r>
      <w:r>
        <w:rPr>
          <w:rFonts w:hint="eastAsia" w:ascii="仿宋" w:hAnsi="仿宋" w:eastAsia="仿宋" w:cs="楷体_GB2312"/>
          <w:b/>
          <w:bCs/>
          <w:color w:val="auto"/>
          <w:szCs w:val="24"/>
          <w:highlight w:val="none"/>
          <w:lang w:val="zh-TW"/>
        </w:rPr>
        <w:t xml:space="preserve">-1  </w:t>
      </w:r>
      <w:r>
        <w:rPr>
          <w:rFonts w:hint="eastAsia" w:ascii="仿宋" w:hAnsi="仿宋" w:eastAsia="仿宋" w:cs="楷体_GB2312"/>
          <w:b/>
          <w:bCs/>
          <w:color w:val="auto"/>
          <w:szCs w:val="24"/>
          <w:highlight w:val="none"/>
          <w:lang w:val="zh-TW" w:eastAsia="zh-TW"/>
        </w:rPr>
        <w:t>项目绩效评价得分表</w:t>
      </w:r>
    </w:p>
    <w:tbl>
      <w:tblPr>
        <w:tblStyle w:val="7"/>
        <w:tblW w:w="5000" w:type="pct"/>
        <w:jc w:val="center"/>
        <w:shd w:val="clear" w:color="auto" w:fill="auto"/>
        <w:tblLayout w:type="autofit"/>
        <w:tblCellMar>
          <w:top w:w="0" w:type="dxa"/>
          <w:left w:w="0" w:type="dxa"/>
          <w:bottom w:w="0" w:type="dxa"/>
          <w:right w:w="0" w:type="dxa"/>
        </w:tblCellMar>
      </w:tblPr>
      <w:tblGrid>
        <w:gridCol w:w="2081"/>
        <w:gridCol w:w="2081"/>
        <w:gridCol w:w="2081"/>
        <w:gridCol w:w="2081"/>
      </w:tblGrid>
      <w:tr>
        <w:tblPrEx>
          <w:shd w:val="clear" w:color="auto" w:fill="auto"/>
          <w:tblCellMar>
            <w:top w:w="0" w:type="dxa"/>
            <w:left w:w="0" w:type="dxa"/>
            <w:bottom w:w="0" w:type="dxa"/>
            <w:right w:w="0" w:type="dxa"/>
          </w:tblCellMar>
        </w:tblPrEx>
        <w:trPr>
          <w:trHeight w:val="403" w:hRule="atLeast"/>
          <w:tblHeader/>
          <w:jc w:val="center"/>
        </w:trPr>
        <w:tc>
          <w:tcPr>
            <w:tcW w:w="208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一级指标</w:t>
            </w:r>
          </w:p>
        </w:tc>
        <w:tc>
          <w:tcPr>
            <w:tcW w:w="208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权重</w:t>
            </w:r>
          </w:p>
        </w:tc>
        <w:tc>
          <w:tcPr>
            <w:tcW w:w="208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 xml:space="preserve"> 得分 </w:t>
            </w:r>
          </w:p>
        </w:tc>
        <w:tc>
          <w:tcPr>
            <w:tcW w:w="208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4"/>
                <w:szCs w:val="24"/>
                <w:highlight w:val="none"/>
                <w:u w:val="none"/>
              </w:rPr>
            </w:pPr>
            <w:r>
              <w:rPr>
                <w:rFonts w:hint="eastAsia" w:ascii="仿宋" w:hAnsi="仿宋" w:eastAsia="仿宋" w:cs="仿宋"/>
                <w:b/>
                <w:bCs/>
                <w:i w:val="0"/>
                <w:color w:val="000000"/>
                <w:kern w:val="0"/>
                <w:sz w:val="24"/>
                <w:szCs w:val="24"/>
                <w:highlight w:val="none"/>
                <w:u w:val="none"/>
                <w:lang w:val="en-US" w:eastAsia="zh-CN" w:bidi="ar"/>
              </w:rPr>
              <w:t>得分率</w:t>
            </w:r>
          </w:p>
        </w:tc>
      </w:tr>
      <w:tr>
        <w:tblPrEx>
          <w:tblCellMar>
            <w:top w:w="0" w:type="dxa"/>
            <w:left w:w="0" w:type="dxa"/>
            <w:bottom w:w="0" w:type="dxa"/>
            <w:right w:w="0" w:type="dxa"/>
          </w:tblCellMar>
        </w:tblPrEx>
        <w:trPr>
          <w:trHeight w:val="400" w:hRule="atLeast"/>
          <w:jc w:val="center"/>
        </w:trPr>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A履职效能</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20</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sz w:val="24"/>
                <w:szCs w:val="24"/>
                <w:highlight w:val="none"/>
                <w:u w:val="none"/>
                <w:lang w:val="en-US" w:eastAsia="zh-CN"/>
              </w:rPr>
              <w:t xml:space="preserve">18.90 </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sz w:val="24"/>
                <w:szCs w:val="24"/>
                <w:highlight w:val="none"/>
                <w:u w:val="none"/>
                <w:lang w:val="en-US" w:eastAsia="zh-CN"/>
              </w:rPr>
              <w:t>94.50%</w:t>
            </w:r>
          </w:p>
        </w:tc>
      </w:tr>
      <w:tr>
        <w:tblPrEx>
          <w:tblCellMar>
            <w:top w:w="0" w:type="dxa"/>
            <w:left w:w="0" w:type="dxa"/>
            <w:bottom w:w="0" w:type="dxa"/>
            <w:right w:w="0" w:type="dxa"/>
          </w:tblCellMar>
        </w:tblPrEx>
        <w:trPr>
          <w:trHeight w:val="400" w:hRule="atLeast"/>
          <w:jc w:val="center"/>
        </w:trPr>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B管理效率</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50</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rPr>
            </w:pPr>
            <w:r>
              <w:rPr>
                <w:rFonts w:hint="eastAsia" w:ascii="仿宋" w:hAnsi="仿宋" w:eastAsia="仿宋" w:cs="仿宋"/>
                <w:i w:val="0"/>
                <w:color w:val="000000"/>
                <w:sz w:val="24"/>
                <w:szCs w:val="24"/>
                <w:highlight w:val="none"/>
                <w:u w:val="none"/>
                <w:lang w:val="en-US" w:eastAsia="zh-CN"/>
              </w:rPr>
              <w:t xml:space="preserve">43.24 </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sz w:val="24"/>
                <w:szCs w:val="24"/>
                <w:highlight w:val="none"/>
                <w:u w:val="none"/>
                <w:lang w:val="en-US" w:eastAsia="zh-CN"/>
              </w:rPr>
              <w:t>86.48%</w:t>
            </w:r>
          </w:p>
        </w:tc>
      </w:tr>
      <w:tr>
        <w:tblPrEx>
          <w:tblCellMar>
            <w:top w:w="0" w:type="dxa"/>
            <w:left w:w="0" w:type="dxa"/>
            <w:bottom w:w="0" w:type="dxa"/>
            <w:right w:w="0" w:type="dxa"/>
          </w:tblCellMar>
        </w:tblPrEx>
        <w:trPr>
          <w:trHeight w:val="400" w:hRule="atLeast"/>
          <w:jc w:val="center"/>
        </w:trPr>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C社会效应</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20</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sz w:val="24"/>
                <w:szCs w:val="24"/>
                <w:highlight w:val="none"/>
                <w:u w:val="none"/>
                <w:lang w:val="en-US" w:eastAsia="zh-CN"/>
              </w:rPr>
              <w:t xml:space="preserve">18.55 </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sz w:val="24"/>
                <w:szCs w:val="24"/>
                <w:highlight w:val="none"/>
                <w:u w:val="none"/>
                <w:lang w:val="en-US" w:eastAsia="zh-CN"/>
              </w:rPr>
              <w:t>92.75%</w:t>
            </w:r>
          </w:p>
        </w:tc>
      </w:tr>
      <w:tr>
        <w:tblPrEx>
          <w:tblCellMar>
            <w:top w:w="0" w:type="dxa"/>
            <w:left w:w="0" w:type="dxa"/>
            <w:bottom w:w="0" w:type="dxa"/>
            <w:right w:w="0" w:type="dxa"/>
          </w:tblCellMar>
        </w:tblPrEx>
        <w:trPr>
          <w:trHeight w:val="400" w:hRule="atLeast"/>
          <w:jc w:val="center"/>
        </w:trPr>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D可持续性</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rPr>
            </w:pPr>
            <w:r>
              <w:rPr>
                <w:rFonts w:hint="eastAsia" w:ascii="仿宋" w:hAnsi="仿宋" w:eastAsia="仿宋" w:cs="仿宋"/>
                <w:i w:val="0"/>
                <w:color w:val="000000"/>
                <w:sz w:val="24"/>
                <w:szCs w:val="24"/>
                <w:highlight w:val="none"/>
                <w:u w:val="none"/>
                <w:lang w:val="en-US" w:eastAsia="zh-CN"/>
              </w:rPr>
              <w:t xml:space="preserve">7.00 </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sz w:val="24"/>
                <w:szCs w:val="24"/>
                <w:highlight w:val="none"/>
                <w:u w:val="none"/>
                <w:lang w:val="en-US" w:eastAsia="zh-CN"/>
              </w:rPr>
              <w:t>70.00%</w:t>
            </w:r>
          </w:p>
        </w:tc>
      </w:tr>
      <w:tr>
        <w:tblPrEx>
          <w:tblCellMar>
            <w:top w:w="0" w:type="dxa"/>
            <w:left w:w="0" w:type="dxa"/>
            <w:bottom w:w="0" w:type="dxa"/>
            <w:right w:w="0" w:type="dxa"/>
          </w:tblCellMar>
        </w:tblPrEx>
        <w:trPr>
          <w:trHeight w:val="400" w:hRule="atLeast"/>
          <w:jc w:val="center"/>
        </w:trPr>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kern w:val="0"/>
                <w:sz w:val="24"/>
                <w:szCs w:val="24"/>
                <w:highlight w:val="none"/>
                <w:u w:val="none"/>
                <w:lang w:val="en-US" w:eastAsia="zh-CN" w:bidi="ar"/>
              </w:rPr>
              <w:t>合计</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iCs w:val="0"/>
                <w:color w:val="000000"/>
                <w:kern w:val="0"/>
                <w:sz w:val="24"/>
                <w:szCs w:val="24"/>
                <w:u w:val="none"/>
                <w:lang w:val="en-US" w:eastAsia="zh-CN" w:bidi="ar"/>
              </w:rPr>
              <w:t>100</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sz w:val="24"/>
                <w:szCs w:val="24"/>
                <w:highlight w:val="none"/>
                <w:u w:val="none"/>
                <w:lang w:val="en-US"/>
              </w:rPr>
            </w:pPr>
            <w:r>
              <w:rPr>
                <w:rFonts w:hint="eastAsia" w:ascii="仿宋" w:hAnsi="仿宋" w:eastAsia="仿宋" w:cs="仿宋"/>
                <w:i w:val="0"/>
                <w:color w:val="000000"/>
                <w:sz w:val="24"/>
                <w:szCs w:val="24"/>
                <w:highlight w:val="none"/>
                <w:u w:val="none"/>
                <w:lang w:val="en-US" w:eastAsia="zh-CN"/>
              </w:rPr>
              <w:t xml:space="preserve">87.69 </w:t>
            </w:r>
          </w:p>
        </w:tc>
        <w:tc>
          <w:tcPr>
            <w:tcW w:w="2081"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highlight w:val="none"/>
                <w:u w:val="none"/>
              </w:rPr>
            </w:pPr>
            <w:r>
              <w:rPr>
                <w:rFonts w:hint="eastAsia" w:ascii="仿宋" w:hAnsi="仿宋" w:eastAsia="仿宋" w:cs="仿宋"/>
                <w:i w:val="0"/>
                <w:color w:val="000000"/>
                <w:sz w:val="24"/>
                <w:szCs w:val="24"/>
                <w:highlight w:val="none"/>
                <w:u w:val="none"/>
                <w:lang w:val="en-US" w:eastAsia="zh-CN"/>
              </w:rPr>
              <w:t>87.69%</w:t>
            </w:r>
          </w:p>
        </w:tc>
      </w:tr>
    </w:tbl>
    <w:p>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outlineLvl w:val="1"/>
        <w:rPr>
          <w:rFonts w:hint="default" w:ascii="仿宋_GB2312" w:hAnsi="Times New Roman" w:eastAsia="仿宋_GB2312" w:cs="Times New Roman"/>
          <w:b/>
          <w:bCs/>
          <w:kern w:val="2"/>
          <w:sz w:val="28"/>
          <w:szCs w:val="28"/>
          <w:highlight w:val="none"/>
          <w:lang w:val="en-US" w:eastAsia="zh-CN" w:bidi="ar-SA"/>
        </w:rPr>
      </w:pPr>
      <w:r>
        <w:rPr>
          <w:rFonts w:hint="eastAsia" w:ascii="仿宋_GB2312" w:hAnsi="Times New Roman" w:eastAsia="仿宋_GB2312" w:cs="Times New Roman"/>
          <w:b/>
          <w:bCs/>
          <w:kern w:val="2"/>
          <w:sz w:val="28"/>
          <w:szCs w:val="28"/>
          <w:highlight w:val="none"/>
          <w:lang w:val="en-US" w:eastAsia="zh-CN" w:bidi="ar-SA"/>
        </w:rPr>
        <w:t>（二）评价结论</w:t>
      </w:r>
      <w:bookmarkEnd w:id="90"/>
      <w:bookmarkEnd w:id="91"/>
      <w:bookmarkEnd w:id="92"/>
      <w:bookmarkEnd w:id="93"/>
      <w:bookmarkEnd w:id="94"/>
      <w:bookmarkEnd w:id="95"/>
      <w:bookmarkEnd w:id="96"/>
      <w:bookmarkEnd w:id="97"/>
      <w:bookmarkEnd w:id="98"/>
      <w:bookmarkEnd w:id="99"/>
      <w:bookmarkEnd w:id="100"/>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仿宋_GB2312" w:hAnsi="Times New Roman" w:eastAsia="仿宋_GB2312" w:cs="Times New Roman"/>
          <w:b w:val="0"/>
          <w:bCs w:val="0"/>
          <w:kern w:val="2"/>
          <w:sz w:val="28"/>
          <w:szCs w:val="28"/>
          <w:highlight w:val="none"/>
          <w:lang w:val="en-US" w:eastAsia="zh-CN" w:bidi="ar-SA"/>
        </w:rPr>
      </w:pPr>
      <w:r>
        <w:rPr>
          <w:rFonts w:hint="eastAsia" w:ascii="仿宋_GB2312" w:hAnsi="Times New Roman" w:eastAsia="仿宋_GB2312" w:cs="Times New Roman"/>
          <w:b w:val="0"/>
          <w:bCs w:val="0"/>
          <w:kern w:val="2"/>
          <w:sz w:val="28"/>
          <w:szCs w:val="28"/>
          <w:highlight w:val="none"/>
          <w:lang w:val="en-US" w:eastAsia="zh-CN" w:bidi="ar-SA"/>
        </w:rPr>
        <w:t>经过对临猗县老干部局2020年度整体支出从履职效能、管理效率、社会效应和可持续性方面进行综合评价，得出以下结论：</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_GB2312" w:hAnsi="Times New Roman" w:eastAsia="仿宋_GB2312" w:cs="Times New Roman"/>
          <w:b w:val="0"/>
          <w:bCs w:val="0"/>
          <w:kern w:val="2"/>
          <w:sz w:val="28"/>
          <w:szCs w:val="28"/>
          <w:highlight w:val="none"/>
          <w:lang w:val="en-US" w:eastAsia="zh-CN" w:bidi="ar-SA"/>
        </w:rPr>
      </w:pPr>
      <w:r>
        <w:rPr>
          <w:rFonts w:hint="eastAsia" w:ascii="仿宋_GB2312" w:hAnsi="Times New Roman" w:eastAsia="仿宋_GB2312" w:cs="Times New Roman"/>
          <w:b w:val="0"/>
          <w:bCs w:val="0"/>
          <w:kern w:val="2"/>
          <w:sz w:val="28"/>
          <w:szCs w:val="28"/>
          <w:highlight w:val="none"/>
          <w:lang w:val="en-US" w:eastAsia="zh-CN" w:bidi="ar-SA"/>
        </w:rPr>
        <w:t>1.该部门预算与绩效目标编制合理，依据充分，与部门核心工作任务匹配；在职人员控制率、“三公经费”变动率均未超过标准，重点支出安排率符合要求。</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仿宋_GB2312" w:hAnsi="Times New Roman" w:eastAsia="仿宋_GB2312" w:cs="Times New Roman"/>
          <w:b w:val="0"/>
          <w:bCs w:val="0"/>
          <w:kern w:val="2"/>
          <w:sz w:val="28"/>
          <w:szCs w:val="28"/>
          <w:highlight w:val="none"/>
          <w:lang w:val="en-US" w:eastAsia="zh-CN" w:bidi="ar-SA"/>
        </w:rPr>
      </w:pPr>
      <w:r>
        <w:rPr>
          <w:rFonts w:hint="eastAsia" w:ascii="仿宋_GB2312" w:hAnsi="Times New Roman" w:eastAsia="仿宋_GB2312" w:cs="Times New Roman"/>
          <w:b w:val="0"/>
          <w:bCs w:val="0"/>
          <w:kern w:val="2"/>
          <w:sz w:val="28"/>
          <w:szCs w:val="28"/>
          <w:highlight w:val="none"/>
          <w:lang w:val="en-US" w:eastAsia="zh-CN" w:bidi="ar-SA"/>
        </w:rPr>
        <w:t>2.从管理过程看，预算管理制度健全、资金使用合规，但存在部分财务核算不规范，票据不合规，预算执行情况欠佳，主要体现在：“三公经费”公车运行费超预算；票据入账审核不严，存在作废发票；固定资产存在账表不符情况，主要是以前年度公车未及时下账问题。</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ascii="仿宋_GB2312" w:hAnsi="Times New Roman" w:eastAsia="仿宋_GB2312" w:cs="Times New Roman"/>
          <w:b w:val="0"/>
          <w:bCs w:val="0"/>
          <w:kern w:val="2"/>
          <w:sz w:val="28"/>
          <w:szCs w:val="28"/>
          <w:highlight w:val="none"/>
          <w:lang w:val="en-US" w:eastAsia="zh-CN" w:bidi="ar-SA"/>
        </w:rPr>
      </w:pPr>
      <w:r>
        <w:rPr>
          <w:rFonts w:hint="eastAsia" w:ascii="仿宋_GB2312" w:hAnsi="Times New Roman" w:eastAsia="仿宋_GB2312" w:cs="Times New Roman"/>
          <w:b w:val="0"/>
          <w:bCs w:val="0"/>
          <w:kern w:val="2"/>
          <w:sz w:val="28"/>
          <w:szCs w:val="28"/>
          <w:highlight w:val="none"/>
          <w:lang w:val="en-US" w:eastAsia="zh-CN" w:bidi="ar-SA"/>
        </w:rPr>
        <w:t>3.从部门履职情况看，临猗县老干部局基本上将离退休干部的政治待遇和生活待遇落实完成，除组织体检未能完成计划人数外，部门的履职情况良好。</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ascii="仿宋_GB2312" w:hAnsi="Times New Roman" w:eastAsia="仿宋_GB2312" w:cs="Times New Roman"/>
          <w:b w:val="0"/>
          <w:bCs w:val="0"/>
          <w:kern w:val="2"/>
          <w:sz w:val="28"/>
          <w:szCs w:val="28"/>
          <w:highlight w:val="none"/>
          <w:lang w:val="en-US" w:eastAsia="zh-CN" w:bidi="ar-SA"/>
        </w:rPr>
      </w:pPr>
      <w:r>
        <w:rPr>
          <w:rFonts w:hint="eastAsia" w:ascii="仿宋_GB2312" w:hAnsi="Times New Roman" w:eastAsia="仿宋_GB2312" w:cs="Times New Roman"/>
          <w:b w:val="0"/>
          <w:bCs w:val="0"/>
          <w:kern w:val="2"/>
          <w:sz w:val="28"/>
          <w:szCs w:val="28"/>
          <w:highlight w:val="none"/>
          <w:lang w:val="en-US" w:eastAsia="zh-CN" w:bidi="ar-SA"/>
        </w:rPr>
        <w:t>4.从效益来看，该部门通过履行基本职责及组织各项活动的实施，基本达到了应有效果；在人员配置方面，老干部局人数较少，可能无法充分满足服务管理日益增长的离退休干部。</w:t>
      </w:r>
    </w:p>
    <w:p>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outlineLvl w:val="0"/>
        <w:rPr>
          <w:rFonts w:hint="eastAsia" w:eastAsia="仿宋"/>
          <w:highlight w:val="none"/>
          <w:lang w:val="en-US" w:eastAsia="zh-CN"/>
        </w:rPr>
      </w:pPr>
      <w:bookmarkStart w:id="101" w:name="_Toc1280_WPSOffice_Level1"/>
      <w:bookmarkStart w:id="102" w:name="_Toc32494_WPSOffice_Level1"/>
      <w:bookmarkStart w:id="103" w:name="_Toc1578_WPSOffice_Level1"/>
      <w:bookmarkStart w:id="104" w:name="_Toc31020_WPSOffice_Level1"/>
      <w:bookmarkStart w:id="105" w:name="_Toc6967_WPSOffice_Level1"/>
      <w:bookmarkStart w:id="106" w:name="_Toc18151_WPSOffice_Level1"/>
      <w:bookmarkStart w:id="107" w:name="_Toc25338_WPSOffice_Level1"/>
      <w:bookmarkStart w:id="108" w:name="_Toc22428_WPSOffice_Level1"/>
      <w:bookmarkStart w:id="109" w:name="_Toc6825_WPSOffice_Level1"/>
      <w:bookmarkStart w:id="110" w:name="_Toc10636_WPSOffice_Level1"/>
      <w:bookmarkStart w:id="111" w:name="_Toc19913"/>
      <w:r>
        <w:rPr>
          <w:rFonts w:hint="eastAsia" w:ascii="仿宋" w:hAnsi="仿宋" w:eastAsia="仿宋"/>
          <w:b/>
          <w:sz w:val="28"/>
          <w:szCs w:val="28"/>
          <w:highlight w:val="none"/>
          <w:lang w:val="en-US" w:eastAsia="zh-CN"/>
        </w:rPr>
        <w:t>六</w:t>
      </w:r>
      <w:r>
        <w:rPr>
          <w:rFonts w:hint="eastAsia" w:ascii="仿宋" w:hAnsi="仿宋" w:eastAsia="仿宋"/>
          <w:b/>
          <w:sz w:val="28"/>
          <w:szCs w:val="28"/>
          <w:highlight w:val="none"/>
        </w:rPr>
        <w:t>、</w:t>
      </w:r>
      <w:r>
        <w:rPr>
          <w:rFonts w:ascii="仿宋" w:hAnsi="仿宋" w:eastAsia="仿宋"/>
          <w:b/>
          <w:sz w:val="28"/>
          <w:szCs w:val="28"/>
          <w:highlight w:val="none"/>
        </w:rPr>
        <w:t>主要</w:t>
      </w:r>
      <w:bookmarkEnd w:id="101"/>
      <w:bookmarkEnd w:id="102"/>
      <w:bookmarkEnd w:id="103"/>
      <w:bookmarkEnd w:id="104"/>
      <w:bookmarkEnd w:id="105"/>
      <w:bookmarkEnd w:id="106"/>
      <w:bookmarkEnd w:id="107"/>
      <w:bookmarkEnd w:id="108"/>
      <w:bookmarkEnd w:id="109"/>
      <w:bookmarkEnd w:id="110"/>
      <w:r>
        <w:rPr>
          <w:rFonts w:hint="eastAsia" w:ascii="仿宋" w:hAnsi="仿宋" w:eastAsia="仿宋"/>
          <w:b/>
          <w:sz w:val="28"/>
          <w:szCs w:val="28"/>
          <w:highlight w:val="none"/>
          <w:lang w:val="en-US" w:eastAsia="zh-CN"/>
        </w:rPr>
        <w:t>成绩</w:t>
      </w:r>
      <w:bookmarkEnd w:id="111"/>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b w:val="0"/>
          <w:bCs w:val="0"/>
          <w:sz w:val="28"/>
          <w:szCs w:val="28"/>
          <w:highlight w:val="none"/>
          <w:lang w:val="en-US" w:eastAsia="zh-CN"/>
        </w:rPr>
      </w:pPr>
      <w:bookmarkStart w:id="112" w:name="_Toc2096_WPSOffice_Level1"/>
      <w:bookmarkStart w:id="113" w:name="_Toc3981"/>
      <w:bookmarkStart w:id="114" w:name="_Toc11386_WPSOffice_Level1"/>
      <w:bookmarkStart w:id="115" w:name="_Toc23046_WPSOffice_Level1"/>
      <w:bookmarkStart w:id="116" w:name="_Toc28094_WPSOffice_Level1"/>
      <w:bookmarkStart w:id="117" w:name="_Toc29367_WPSOffice_Level1"/>
      <w:bookmarkStart w:id="118" w:name="_Toc5408_WPSOffice_Level1"/>
      <w:bookmarkStart w:id="119" w:name="_Toc10497_WPSOffice_Level1"/>
      <w:bookmarkStart w:id="120" w:name="_Toc7336_WPSOffice_Level1"/>
      <w:bookmarkStart w:id="121" w:name="_Toc2890_WPSOffice_Level1"/>
      <w:bookmarkStart w:id="122" w:name="_Toc16710_WPSOffice_Level1"/>
      <w:r>
        <w:rPr>
          <w:rFonts w:hint="eastAsia"/>
          <w:b w:val="0"/>
          <w:bCs w:val="0"/>
          <w:sz w:val="28"/>
          <w:szCs w:val="28"/>
          <w:highlight w:val="none"/>
          <w:lang w:val="en-US" w:eastAsia="zh-CN"/>
        </w:rPr>
        <w:t>2020年临猗县老干部局围绕学习贯彻党的十九届三中、四中、五中全会精神，按照县委“四四二”发展思路要求，发挥老干部的政治优势、经验优势和威望优势，开拓创新、求真务实，完成了2020年春节离退休干部慰问工作；做好县“两会”服务工作；优化了老干部活动设施，组建了老干部门球队；深入推进社区“四就近”拓展工作；扎实做好离退休干部疫情常态化防控工作；以“党建立县”为指导，打造了离退休干部党建品牌，抓好典型宣传，助推党建工作深入开展。克服疫情影响，开展了离休干部和县团级干部健康体检工作、举办了老干部工作人员及党支部书记培训班。</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b w:val="0"/>
          <w:bCs w:val="0"/>
          <w:sz w:val="28"/>
          <w:szCs w:val="28"/>
          <w:highlight w:val="none"/>
          <w:lang w:val="en-US" w:eastAsia="zh-CN"/>
        </w:rPr>
      </w:pPr>
      <w:r>
        <w:rPr>
          <w:rFonts w:hint="eastAsia"/>
          <w:b w:val="0"/>
          <w:bCs w:val="0"/>
          <w:sz w:val="28"/>
          <w:szCs w:val="28"/>
          <w:highlight w:val="none"/>
          <w:lang w:val="en-US" w:eastAsia="zh-CN"/>
        </w:rPr>
        <w:t>2020年临猗县老干部局在疫情防控工作方面，组织全体人员线上学习相关精神，并按照县委防控支部会要求，下沉到社区站岗值班；并引导老同志通过卡口站岗、社区宣传、捐款捐物等志愿服务活动。</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eastAsia"/>
          <w:b w:val="0"/>
          <w:bCs w:val="0"/>
          <w:sz w:val="28"/>
          <w:szCs w:val="28"/>
          <w:highlight w:val="none"/>
          <w:lang w:val="en-US" w:eastAsia="zh-CN"/>
        </w:rPr>
      </w:pPr>
      <w:r>
        <w:rPr>
          <w:rFonts w:hint="eastAsia"/>
          <w:b w:val="0"/>
          <w:bCs w:val="0"/>
          <w:sz w:val="28"/>
          <w:szCs w:val="28"/>
          <w:highlight w:val="none"/>
          <w:lang w:val="en-US" w:eastAsia="zh-CN"/>
        </w:rPr>
        <w:t>2020年临猗县老干部局通过整合离退休干部人才资源，建立了离退休干部人才信息库，按照专业特点进行了分类，建立了相应的团体组织，形成了一个人才聚集、影响广泛的宽阔平台，有农业人才库、工业人才库、党建人才库、法制人才库等。</w:t>
      </w:r>
    </w:p>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b w:val="0"/>
          <w:bCs w:val="0"/>
          <w:sz w:val="28"/>
          <w:szCs w:val="28"/>
          <w:highlight w:val="none"/>
          <w:lang w:val="en-US" w:eastAsia="zh-CN"/>
        </w:rPr>
      </w:pPr>
      <w:r>
        <w:rPr>
          <w:rFonts w:hint="eastAsia"/>
          <w:b w:val="0"/>
          <w:bCs w:val="0"/>
          <w:sz w:val="28"/>
          <w:szCs w:val="28"/>
          <w:highlight w:val="none"/>
          <w:lang w:val="en-US" w:eastAsia="zh-CN"/>
        </w:rPr>
        <w:t>2020年临猗县老干部局深化拓展了为党和人民事业增添正能量活动，加大了先进典型宣传力度。主要是深化拓展“增添正能量·共筑中国梦”系列活动，组织引导离退休干部建言献策，增添正能量。同时培树典型，及时总结宣传老干部发挥作用的先进事例，加大了舆论宣传工作，充分展示了新时代离退休干部的精神风貌。</w:t>
      </w:r>
    </w:p>
    <w:p>
      <w:pPr>
        <w:pStyle w:val="10"/>
        <w:keepNext w:val="0"/>
        <w:keepLines w:val="0"/>
        <w:pageBreakBefore w:val="0"/>
        <w:widowControl w:val="0"/>
        <w:kinsoku/>
        <w:wordWrap/>
        <w:overflowPunct/>
        <w:topLinePunct w:val="0"/>
        <w:autoSpaceDE/>
        <w:autoSpaceDN/>
        <w:bidi w:val="0"/>
        <w:adjustRightInd/>
        <w:snapToGrid/>
        <w:spacing w:line="580" w:lineRule="exact"/>
        <w:ind w:firstLine="562"/>
        <w:textAlignment w:val="auto"/>
        <w:outlineLvl w:val="0"/>
        <w:rPr>
          <w:b/>
          <w:highlight w:val="none"/>
        </w:rPr>
      </w:pPr>
      <w:r>
        <w:rPr>
          <w:rFonts w:hint="eastAsia" w:ascii="仿宋" w:hAnsi="仿宋" w:eastAsia="仿宋"/>
          <w:b/>
          <w:highlight w:val="none"/>
          <w:lang w:val="en-US" w:eastAsia="zh-CN"/>
        </w:rPr>
        <w:t>七</w:t>
      </w:r>
      <w:r>
        <w:rPr>
          <w:rFonts w:hint="eastAsia" w:ascii="仿宋" w:hAnsi="仿宋" w:eastAsia="仿宋"/>
          <w:b/>
          <w:highlight w:val="none"/>
        </w:rPr>
        <w:t>、</w:t>
      </w:r>
      <w:r>
        <w:rPr>
          <w:b/>
          <w:highlight w:val="none"/>
        </w:rPr>
        <w:t>存在的主要问题及改进意见</w:t>
      </w:r>
      <w:bookmarkEnd w:id="112"/>
      <w:bookmarkEnd w:id="113"/>
      <w:bookmarkEnd w:id="114"/>
      <w:bookmarkEnd w:id="115"/>
      <w:bookmarkEnd w:id="116"/>
      <w:bookmarkEnd w:id="117"/>
      <w:bookmarkEnd w:id="118"/>
      <w:bookmarkEnd w:id="119"/>
      <w:bookmarkEnd w:id="120"/>
      <w:bookmarkEnd w:id="121"/>
      <w:bookmarkEnd w:id="122"/>
    </w:p>
    <w:p>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b/>
          <w:bCs/>
          <w:sz w:val="28"/>
          <w:szCs w:val="28"/>
          <w:highlight w:val="none"/>
          <w:lang w:val="en-US" w:eastAsia="zh-CN"/>
        </w:rPr>
      </w:pPr>
      <w:r>
        <w:rPr>
          <w:rFonts w:hint="eastAsia"/>
          <w:b/>
          <w:bCs/>
          <w:sz w:val="28"/>
          <w:szCs w:val="28"/>
          <w:highlight w:val="none"/>
          <w:lang w:val="en-US" w:eastAsia="zh-CN"/>
        </w:rPr>
        <w:t>（一）存在的主要问题</w:t>
      </w:r>
    </w:p>
    <w:p>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sz w:val="28"/>
          <w:szCs w:val="28"/>
          <w:highlight w:val="none"/>
          <w:lang w:val="en-US" w:eastAsia="zh-CN"/>
        </w:rPr>
      </w:pPr>
      <w:r>
        <w:rPr>
          <w:rFonts w:hint="default"/>
          <w:b/>
          <w:bCs/>
          <w:sz w:val="28"/>
          <w:szCs w:val="28"/>
          <w:highlight w:val="none"/>
          <w:lang w:val="en-US" w:eastAsia="zh-CN"/>
        </w:rPr>
        <w:t>1.</w:t>
      </w:r>
      <w:r>
        <w:rPr>
          <w:rFonts w:hint="eastAsia"/>
          <w:b/>
          <w:bCs/>
          <w:sz w:val="28"/>
          <w:szCs w:val="28"/>
          <w:highlight w:val="none"/>
          <w:lang w:val="en-US" w:eastAsia="zh-CN"/>
        </w:rPr>
        <w:t>公车运行维护费超预算</w:t>
      </w:r>
    </w:p>
    <w:p>
      <w:pPr>
        <w:pStyle w:val="2"/>
        <w:numPr>
          <w:ilvl w:val="0"/>
          <w:numId w:val="0"/>
        </w:numPr>
        <w:ind w:firstLine="560" w:firstLineChars="200"/>
        <w:rPr>
          <w:rFonts w:hint="default"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临猗县老干部局2020年度公车运行维护费预算为12,000.00元，2020年度公车运维费实际支出13,904.00元，其中：公车运维费科目列支11,366.00元，办公费列支购汽车坐垫等费用433.00元，维修费列支车辆维修费2,105.00元。</w:t>
      </w:r>
    </w:p>
    <w:p>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sz w:val="28"/>
          <w:szCs w:val="28"/>
          <w:highlight w:val="none"/>
          <w:lang w:val="en-US" w:eastAsia="zh-CN"/>
        </w:rPr>
      </w:pPr>
      <w:r>
        <w:rPr>
          <w:rFonts w:hint="eastAsia"/>
          <w:b/>
          <w:bCs/>
          <w:sz w:val="28"/>
          <w:szCs w:val="28"/>
          <w:highlight w:val="none"/>
          <w:lang w:val="en-US" w:eastAsia="zh-CN"/>
        </w:rPr>
        <w:t>2</w:t>
      </w:r>
      <w:r>
        <w:rPr>
          <w:rFonts w:hint="default"/>
          <w:b/>
          <w:bCs/>
          <w:sz w:val="28"/>
          <w:szCs w:val="28"/>
          <w:highlight w:val="none"/>
          <w:lang w:val="en-US" w:eastAsia="zh-CN"/>
        </w:rPr>
        <w:t>.</w:t>
      </w:r>
      <w:r>
        <w:rPr>
          <w:rFonts w:hint="eastAsia"/>
          <w:b/>
          <w:bCs/>
          <w:sz w:val="28"/>
          <w:szCs w:val="28"/>
          <w:highlight w:val="none"/>
          <w:lang w:val="en-US" w:eastAsia="zh-CN"/>
        </w:rPr>
        <w:t>发票入账审核不严</w:t>
      </w:r>
    </w:p>
    <w:p>
      <w:pPr>
        <w:pStyle w:val="2"/>
        <w:numPr>
          <w:ilvl w:val="0"/>
          <w:numId w:val="0"/>
        </w:numPr>
        <w:ind w:firstLine="560" w:firstLineChars="200"/>
        <w:rPr>
          <w:rFonts w:hint="default"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临猗县老干部局2020年3月31日10#凭证，其他交通费用列支5,000.00元，后附票据为已作废长条客运票；2020年9月30日8#凭证，列支老年书画协会经费5,000.00元，后附票据为电脑维修，实际业务内容与票据内容不符。</w:t>
      </w:r>
    </w:p>
    <w:p>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sz w:val="28"/>
          <w:szCs w:val="28"/>
          <w:highlight w:val="none"/>
          <w:lang w:val="en-US" w:eastAsia="zh-CN"/>
        </w:rPr>
      </w:pPr>
      <w:r>
        <w:rPr>
          <w:rFonts w:hint="eastAsia"/>
          <w:b/>
          <w:bCs/>
          <w:sz w:val="28"/>
          <w:szCs w:val="28"/>
          <w:highlight w:val="none"/>
          <w:lang w:val="en-US" w:eastAsia="zh-CN"/>
        </w:rPr>
        <w:t>3</w:t>
      </w:r>
      <w:r>
        <w:rPr>
          <w:rFonts w:hint="default"/>
          <w:b/>
          <w:bCs/>
          <w:sz w:val="28"/>
          <w:szCs w:val="28"/>
          <w:highlight w:val="none"/>
          <w:lang w:val="en-US" w:eastAsia="zh-CN"/>
        </w:rPr>
        <w:t>.</w:t>
      </w:r>
      <w:r>
        <w:rPr>
          <w:rFonts w:hint="eastAsia"/>
          <w:b/>
          <w:bCs/>
          <w:sz w:val="28"/>
          <w:szCs w:val="28"/>
          <w:highlight w:val="none"/>
          <w:lang w:val="en-US" w:eastAsia="zh-CN"/>
        </w:rPr>
        <w:t>固定资产帐实不符</w:t>
      </w:r>
    </w:p>
    <w:p>
      <w:pPr>
        <w:pStyle w:val="2"/>
        <w:numPr>
          <w:ilvl w:val="0"/>
          <w:numId w:val="0"/>
        </w:numPr>
        <w:ind w:firstLine="560" w:firstLineChars="200"/>
        <w:rPr>
          <w:rFonts w:hint="eastAsia"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临猗县老干部局固定资产账面显示2000年12月份有1辆轿车（晋M28086）143,600.00元；经了解此车已在以前年度处置，目前已无该实物，未能做下账处理，导致帐实不符。</w:t>
      </w:r>
    </w:p>
    <w:p>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sz w:val="28"/>
          <w:szCs w:val="28"/>
          <w:highlight w:val="none"/>
          <w:lang w:val="en-US" w:eastAsia="zh-CN"/>
        </w:rPr>
      </w:pPr>
      <w:r>
        <w:rPr>
          <w:rFonts w:hint="eastAsia"/>
          <w:b/>
          <w:bCs/>
          <w:sz w:val="28"/>
          <w:szCs w:val="28"/>
          <w:highlight w:val="none"/>
          <w:lang w:val="en-US" w:eastAsia="zh-CN"/>
        </w:rPr>
        <w:t>4</w:t>
      </w:r>
      <w:r>
        <w:rPr>
          <w:rFonts w:hint="default"/>
          <w:b/>
          <w:bCs/>
          <w:sz w:val="28"/>
          <w:szCs w:val="28"/>
          <w:highlight w:val="none"/>
          <w:lang w:val="en-US" w:eastAsia="zh-CN"/>
        </w:rPr>
        <w:t>.</w:t>
      </w:r>
      <w:r>
        <w:rPr>
          <w:rFonts w:hint="eastAsia"/>
          <w:b/>
          <w:bCs/>
          <w:sz w:val="28"/>
          <w:szCs w:val="28"/>
          <w:highlight w:val="none"/>
          <w:lang w:val="en-US" w:eastAsia="zh-CN"/>
        </w:rPr>
        <w:t>项目经费支出混用</w:t>
      </w:r>
    </w:p>
    <w:p>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b/>
          <w:bCs/>
          <w:sz w:val="28"/>
          <w:szCs w:val="28"/>
          <w:highlight w:val="none"/>
          <w:lang w:val="en-US" w:eastAsia="zh-CN"/>
        </w:rPr>
      </w:pPr>
      <w:r>
        <w:rPr>
          <w:rFonts w:hint="eastAsia" w:ascii="仿宋" w:hAnsi="仿宋" w:eastAsia="仿宋" w:cs="仿宋"/>
          <w:b w:val="0"/>
          <w:bCs w:val="0"/>
          <w:kern w:val="0"/>
          <w:sz w:val="28"/>
          <w:szCs w:val="28"/>
          <w:highlight w:val="none"/>
          <w:lang w:val="en-US" w:eastAsia="zh-CN"/>
        </w:rPr>
        <w:t>临猗县老干部局2020年11月30日20#凭证，项目支出-老干部体检费列支27,035.20元，共体检75人，体检人员包括老干部局职工12人，县团级离退休干部35人，正能量先进个人老干部28人；使用经费包括老干部特需费支26,734.00元，老年音乐舞蹈协会经费支5.2元，老干部帮扶基金支192.00元，老干部支部活动经费支45.00元，日常公用经费支59.00元；问题为：项目支出-老干部体检费不应列支本部门职工的体检费用，体检费支出不应挪用其他项目经费。</w:t>
      </w:r>
    </w:p>
    <w:p>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sz w:val="28"/>
          <w:szCs w:val="28"/>
          <w:highlight w:val="none"/>
          <w:lang w:val="en-US" w:eastAsia="zh-CN"/>
        </w:rPr>
      </w:pPr>
      <w:r>
        <w:rPr>
          <w:rFonts w:hint="eastAsia"/>
          <w:b/>
          <w:bCs/>
          <w:sz w:val="28"/>
          <w:szCs w:val="28"/>
          <w:highlight w:val="none"/>
          <w:lang w:val="en-US" w:eastAsia="zh-CN"/>
        </w:rPr>
        <w:t>5</w:t>
      </w:r>
      <w:r>
        <w:rPr>
          <w:rFonts w:hint="default"/>
          <w:b/>
          <w:bCs/>
          <w:sz w:val="28"/>
          <w:szCs w:val="28"/>
          <w:highlight w:val="none"/>
          <w:lang w:val="en-US" w:eastAsia="zh-CN"/>
        </w:rPr>
        <w:t>.</w:t>
      </w:r>
      <w:r>
        <w:rPr>
          <w:rFonts w:hint="eastAsia"/>
          <w:b/>
          <w:bCs/>
          <w:sz w:val="28"/>
          <w:szCs w:val="28"/>
          <w:highlight w:val="none"/>
          <w:lang w:val="en-US" w:eastAsia="zh-CN"/>
        </w:rPr>
        <w:t>健康体检质量不高</w:t>
      </w:r>
    </w:p>
    <w:p>
      <w:pPr>
        <w:pStyle w:val="2"/>
        <w:numPr>
          <w:ilvl w:val="0"/>
          <w:numId w:val="0"/>
        </w:numPr>
        <w:ind w:firstLine="560" w:firstLineChars="200"/>
        <w:rPr>
          <w:rFonts w:hint="eastAsia"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临猗县老干部局2020年组织离退休干部进行了健康体检，体检项目与国家基本公卫服务中的老年人免费体检项目有多个重合，未能针对离休干部身体情况，针对性的进行专项体检，体检质量不高。</w:t>
      </w:r>
    </w:p>
    <w:p>
      <w:pPr>
        <w:spacing w:line="560" w:lineRule="exact"/>
        <w:ind w:firstLine="562" w:firstLineChars="200"/>
        <w:outlineLvl w:val="0"/>
        <w:rPr>
          <w:rFonts w:hint="eastAsia" w:ascii="仿宋" w:hAnsi="仿宋" w:eastAsia="仿宋" w:cs="仿宋"/>
          <w:sz w:val="28"/>
          <w:szCs w:val="28"/>
          <w:highlight w:val="none"/>
        </w:rPr>
      </w:pPr>
      <w:r>
        <w:rPr>
          <w:rFonts w:hint="eastAsia" w:ascii="仿宋" w:hAnsi="仿宋" w:eastAsia="仿宋" w:cs="仿宋"/>
          <w:b/>
          <w:sz w:val="28"/>
          <w:szCs w:val="28"/>
          <w:highlight w:val="none"/>
        </w:rPr>
        <w:t>（二）改进意见</w:t>
      </w:r>
    </w:p>
    <w:p>
      <w:pPr>
        <w:pStyle w:val="2"/>
        <w:numPr>
          <w:ilvl w:val="0"/>
          <w:numId w:val="0"/>
        </w:numPr>
        <w:ind w:firstLine="562" w:firstLineChars="200"/>
        <w:rPr>
          <w:rFonts w:hint="default" w:ascii="仿宋" w:hAnsi="仿宋" w:eastAsia="仿宋" w:cs="仿宋"/>
          <w:b/>
          <w:bCs/>
          <w:kern w:val="0"/>
          <w:sz w:val="28"/>
          <w:szCs w:val="28"/>
          <w:highlight w:val="none"/>
          <w:lang w:val="en-US" w:eastAsia="zh-CN"/>
        </w:rPr>
      </w:pPr>
      <w:r>
        <w:rPr>
          <w:rFonts w:hint="eastAsia" w:ascii="仿宋" w:hAnsi="仿宋" w:eastAsia="仿宋" w:cs="仿宋"/>
          <w:b/>
          <w:bCs/>
          <w:kern w:val="0"/>
          <w:sz w:val="28"/>
          <w:szCs w:val="28"/>
          <w:highlight w:val="none"/>
          <w:lang w:val="en-US" w:eastAsia="zh-CN"/>
        </w:rPr>
        <w:t>1.严格控制经费</w:t>
      </w:r>
    </w:p>
    <w:p>
      <w:pPr>
        <w:pStyle w:val="2"/>
        <w:numPr>
          <w:ilvl w:val="0"/>
          <w:numId w:val="0"/>
        </w:numPr>
        <w:ind w:firstLine="560" w:firstLineChars="200"/>
        <w:rPr>
          <w:rFonts w:hint="eastAsia"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建议临猗县老干部局强化内部控制措施，进一步控制公车运行维护费，杜绝“三公经费”超预算列支。</w:t>
      </w:r>
    </w:p>
    <w:p>
      <w:pPr>
        <w:pStyle w:val="2"/>
        <w:numPr>
          <w:ilvl w:val="0"/>
          <w:numId w:val="0"/>
        </w:numPr>
        <w:ind w:firstLine="562" w:firstLineChars="200"/>
        <w:rPr>
          <w:rFonts w:hint="default" w:ascii="仿宋" w:hAnsi="仿宋" w:eastAsia="仿宋" w:cs="仿宋"/>
          <w:b/>
          <w:bCs/>
          <w:kern w:val="0"/>
          <w:sz w:val="28"/>
          <w:szCs w:val="28"/>
          <w:highlight w:val="none"/>
          <w:lang w:val="en-US" w:eastAsia="zh-CN"/>
        </w:rPr>
      </w:pPr>
      <w:r>
        <w:rPr>
          <w:rFonts w:hint="eastAsia" w:ascii="仿宋" w:hAnsi="仿宋" w:eastAsia="仿宋" w:cs="仿宋"/>
          <w:b/>
          <w:bCs/>
          <w:kern w:val="0"/>
          <w:sz w:val="28"/>
          <w:szCs w:val="28"/>
          <w:highlight w:val="none"/>
          <w:lang w:val="en-US" w:eastAsia="zh-CN"/>
        </w:rPr>
        <w:t>2.加强入账审核</w:t>
      </w:r>
    </w:p>
    <w:p>
      <w:pPr>
        <w:ind w:firstLine="560" w:firstLineChars="200"/>
        <w:rPr>
          <w:rFonts w:hint="eastAsia"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建议临猗县老干部局在取得原始凭证后，严格按照报销流程，审核发票真伪及是否为过期作废票，核对票据内容和业务内容是否一致，对于不符合规定的票据，应拒绝办理报销手续。</w:t>
      </w:r>
    </w:p>
    <w:p>
      <w:pPr>
        <w:pStyle w:val="2"/>
        <w:numPr>
          <w:ilvl w:val="0"/>
          <w:numId w:val="0"/>
        </w:numPr>
        <w:ind w:firstLine="562" w:firstLineChars="200"/>
        <w:rPr>
          <w:rFonts w:hint="default" w:ascii="仿宋" w:hAnsi="仿宋" w:eastAsia="仿宋" w:cs="仿宋"/>
          <w:b/>
          <w:bCs/>
          <w:kern w:val="0"/>
          <w:sz w:val="28"/>
          <w:szCs w:val="28"/>
          <w:highlight w:val="none"/>
          <w:lang w:val="en-US" w:eastAsia="zh-CN"/>
        </w:rPr>
      </w:pPr>
      <w:r>
        <w:rPr>
          <w:rFonts w:hint="eastAsia" w:ascii="仿宋" w:hAnsi="仿宋" w:eastAsia="仿宋" w:cs="仿宋"/>
          <w:b/>
          <w:bCs/>
          <w:kern w:val="0"/>
          <w:sz w:val="28"/>
          <w:szCs w:val="28"/>
          <w:highlight w:val="none"/>
          <w:lang w:val="en-US" w:eastAsia="zh-CN"/>
        </w:rPr>
        <w:t>3.及时处理遗留问题</w:t>
      </w:r>
    </w:p>
    <w:p>
      <w:pPr>
        <w:pStyle w:val="2"/>
        <w:ind w:firstLine="560" w:firstLineChars="200"/>
        <w:rPr>
          <w:rFonts w:hint="default"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针对临猗县老干部局固定资产帐实不符问题，建议临猗县老干部局按照国有资产管理规定尽快处理，及时办理相关手续，继续执行固定资产盘点等控制手段，防止资产流失。</w:t>
      </w:r>
    </w:p>
    <w:p>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sz w:val="28"/>
          <w:szCs w:val="28"/>
          <w:highlight w:val="none"/>
          <w:lang w:val="en-US" w:eastAsia="zh-CN"/>
        </w:rPr>
      </w:pPr>
      <w:r>
        <w:rPr>
          <w:rFonts w:hint="eastAsia"/>
          <w:b/>
          <w:bCs/>
          <w:sz w:val="28"/>
          <w:szCs w:val="28"/>
          <w:highlight w:val="none"/>
          <w:lang w:val="en-US" w:eastAsia="zh-CN"/>
        </w:rPr>
        <w:t>4</w:t>
      </w:r>
      <w:r>
        <w:rPr>
          <w:rFonts w:hint="default"/>
          <w:b/>
          <w:bCs/>
          <w:sz w:val="28"/>
          <w:szCs w:val="28"/>
          <w:highlight w:val="none"/>
          <w:lang w:val="en-US" w:eastAsia="zh-CN"/>
        </w:rPr>
        <w:t>.</w:t>
      </w:r>
      <w:r>
        <w:rPr>
          <w:rFonts w:hint="eastAsia"/>
          <w:b/>
          <w:bCs/>
          <w:sz w:val="28"/>
          <w:szCs w:val="28"/>
          <w:highlight w:val="none"/>
          <w:lang w:val="en-US" w:eastAsia="zh-CN"/>
        </w:rPr>
        <w:t>严控项目经费支出范围</w:t>
      </w:r>
    </w:p>
    <w:p>
      <w:pPr>
        <w:pStyle w:val="2"/>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临猗县老干部局应严格控制项目支出使用范围，加强对项目经费的控制与监督，对于没有足额预算的项目，若其他资金有结余，可向财政及相关部门提出申请，得到批准后方能将结余资金用于资金不足项目，严禁未经批准随意调剂资金用途。</w:t>
      </w:r>
    </w:p>
    <w:p>
      <w:pPr>
        <w:pStyle w:val="2"/>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sz w:val="28"/>
          <w:szCs w:val="28"/>
          <w:highlight w:val="none"/>
          <w:lang w:val="en-US" w:eastAsia="zh-CN"/>
        </w:rPr>
      </w:pPr>
      <w:r>
        <w:rPr>
          <w:rFonts w:hint="eastAsia"/>
          <w:b/>
          <w:bCs/>
          <w:sz w:val="28"/>
          <w:szCs w:val="28"/>
          <w:highlight w:val="none"/>
          <w:lang w:val="en-US" w:eastAsia="zh-CN"/>
        </w:rPr>
        <w:t>5</w:t>
      </w:r>
      <w:r>
        <w:rPr>
          <w:rFonts w:hint="default"/>
          <w:b/>
          <w:bCs/>
          <w:sz w:val="28"/>
          <w:szCs w:val="28"/>
          <w:highlight w:val="none"/>
          <w:lang w:val="en-US" w:eastAsia="zh-CN"/>
        </w:rPr>
        <w:t>.</w:t>
      </w:r>
      <w:r>
        <w:rPr>
          <w:rFonts w:hint="eastAsia"/>
          <w:b/>
          <w:bCs/>
          <w:sz w:val="28"/>
          <w:szCs w:val="28"/>
          <w:highlight w:val="none"/>
          <w:lang w:val="en-US" w:eastAsia="zh-CN"/>
        </w:rPr>
        <w:t>设置专项健康体检项目</w:t>
      </w:r>
    </w:p>
    <w:p>
      <w:pPr>
        <w:pStyle w:val="2"/>
        <w:ind w:firstLine="560" w:firstLineChars="200"/>
        <w:rPr>
          <w:rFonts w:hint="default"/>
          <w:highlight w:val="none"/>
          <w:lang w:val="en-US"/>
        </w:rPr>
      </w:pPr>
      <w:r>
        <w:rPr>
          <w:rFonts w:hint="eastAsia" w:ascii="仿宋" w:hAnsi="仿宋" w:eastAsia="仿宋" w:cs="仿宋"/>
          <w:b w:val="0"/>
          <w:bCs w:val="0"/>
          <w:kern w:val="0"/>
          <w:sz w:val="28"/>
          <w:szCs w:val="28"/>
          <w:highlight w:val="none"/>
          <w:lang w:val="en-US" w:eastAsia="zh-CN"/>
        </w:rPr>
        <w:t>临猗县老干部局2020年共服务管理离休干部48人，且年龄越来越大，人数越来越少；应针对此部分人群身体情况，有针对性的设置专项体检，提高健康体检质量和效果。</w:t>
      </w:r>
    </w:p>
    <w:p>
      <w:pPr>
        <w:spacing w:line="560" w:lineRule="exact"/>
        <w:ind w:firstLine="562" w:firstLineChars="200"/>
        <w:outlineLvl w:val="0"/>
        <w:rPr>
          <w:rFonts w:ascii="仿宋" w:hAnsi="仿宋" w:eastAsia="仿宋" w:cs="仿宋"/>
          <w:b/>
          <w:sz w:val="28"/>
          <w:szCs w:val="28"/>
          <w:highlight w:val="none"/>
        </w:rPr>
      </w:pPr>
      <w:r>
        <w:rPr>
          <w:rFonts w:hint="eastAsia" w:ascii="仿宋" w:hAnsi="仿宋" w:eastAsia="仿宋" w:cs="仿宋"/>
          <w:b/>
          <w:sz w:val="28"/>
          <w:szCs w:val="28"/>
          <w:highlight w:val="none"/>
          <w:lang w:eastAsia="zh-CN"/>
        </w:rPr>
        <w:t>八</w:t>
      </w:r>
      <w:r>
        <w:rPr>
          <w:rFonts w:hint="eastAsia" w:ascii="仿宋" w:hAnsi="仿宋" w:eastAsia="仿宋" w:cs="仿宋"/>
          <w:b/>
          <w:sz w:val="28"/>
          <w:szCs w:val="28"/>
          <w:highlight w:val="none"/>
        </w:rPr>
        <w:t>、</w:t>
      </w:r>
      <w:r>
        <w:rPr>
          <w:rFonts w:ascii="仿宋" w:hAnsi="仿宋" w:eastAsia="仿宋" w:cs="仿宋"/>
          <w:b/>
          <w:sz w:val="28"/>
          <w:szCs w:val="28"/>
          <w:highlight w:val="none"/>
        </w:rPr>
        <w:t>绩效评价结果应用建议</w:t>
      </w:r>
    </w:p>
    <w:p>
      <w:pPr>
        <w:spacing w:line="560" w:lineRule="exact"/>
        <w:ind w:firstLine="560" w:firstLineChars="200"/>
        <w:outlineLvl w:val="0"/>
        <w:rPr>
          <w:rFonts w:ascii="仿宋" w:hAnsi="仿宋" w:eastAsia="仿宋" w:cs="仿宋"/>
          <w:sz w:val="28"/>
          <w:szCs w:val="28"/>
          <w:highlight w:val="none"/>
        </w:rPr>
      </w:pPr>
      <w:r>
        <w:rPr>
          <w:rFonts w:hint="eastAsia" w:ascii="仿宋" w:hAnsi="仿宋" w:eastAsia="仿宋" w:cs="仿宋"/>
          <w:sz w:val="28"/>
          <w:szCs w:val="28"/>
          <w:highlight w:val="none"/>
        </w:rPr>
        <w:t>绩效评价结果应用，既是开展绩效评价工作的重要后续环节，又是加强财政支出管理、增强资金绩效理念、合理配置公共资源、优化财政支出结构、强化资金管理水平、提高资金使用效益的重要手段。为此，特提出以下</w:t>
      </w:r>
      <w:r>
        <w:rPr>
          <w:rFonts w:hint="eastAsia" w:ascii="仿宋" w:hAnsi="仿宋" w:eastAsia="仿宋" w:cs="仿宋"/>
          <w:sz w:val="28"/>
          <w:szCs w:val="28"/>
          <w:highlight w:val="none"/>
          <w:lang w:val="en-US" w:eastAsia="zh-CN"/>
        </w:rPr>
        <w:t>三</w:t>
      </w:r>
      <w:r>
        <w:rPr>
          <w:rFonts w:hint="eastAsia" w:ascii="仿宋" w:hAnsi="仿宋" w:eastAsia="仿宋" w:cs="仿宋"/>
          <w:sz w:val="28"/>
          <w:szCs w:val="28"/>
          <w:highlight w:val="none"/>
        </w:rPr>
        <w:t>点建议。</w:t>
      </w:r>
    </w:p>
    <w:p>
      <w:pPr>
        <w:spacing w:line="560" w:lineRule="exact"/>
        <w:ind w:firstLine="560" w:firstLineChars="200"/>
        <w:outlineLvl w:val="0"/>
        <w:rPr>
          <w:rFonts w:ascii="仿宋" w:hAnsi="仿宋" w:eastAsia="仿宋" w:cs="仿宋"/>
          <w:sz w:val="28"/>
          <w:szCs w:val="28"/>
          <w:highlight w:val="none"/>
        </w:rPr>
      </w:pPr>
      <w:r>
        <w:rPr>
          <w:rFonts w:hint="eastAsia" w:ascii="仿宋" w:hAnsi="仿宋" w:eastAsia="仿宋" w:cs="仿宋"/>
          <w:sz w:val="28"/>
          <w:szCs w:val="28"/>
          <w:highlight w:val="none"/>
        </w:rPr>
        <w:t>（一）应将评价结果反馈告知</w:t>
      </w:r>
      <w:r>
        <w:rPr>
          <w:rFonts w:hint="eastAsia" w:ascii="仿宋" w:hAnsi="仿宋" w:eastAsia="仿宋" w:cs="仿宋"/>
          <w:sz w:val="28"/>
          <w:szCs w:val="28"/>
          <w:highlight w:val="none"/>
          <w:lang w:eastAsia="zh-CN"/>
        </w:rPr>
        <w:t>被评价部门</w:t>
      </w:r>
      <w:r>
        <w:rPr>
          <w:rFonts w:hint="eastAsia" w:ascii="仿宋" w:hAnsi="仿宋" w:eastAsia="仿宋" w:cs="仿宋"/>
          <w:sz w:val="28"/>
          <w:szCs w:val="28"/>
          <w:highlight w:val="none"/>
        </w:rPr>
        <w:t>。以“绩效评价结果反馈告知书”形式，将评价项目绩效分值、等级，存在的问题及相关建议及时反馈给</w:t>
      </w:r>
      <w:r>
        <w:rPr>
          <w:rFonts w:hint="eastAsia" w:ascii="仿宋" w:hAnsi="仿宋" w:eastAsia="仿宋" w:cs="仿宋"/>
          <w:sz w:val="28"/>
          <w:szCs w:val="28"/>
          <w:highlight w:val="none"/>
          <w:lang w:eastAsia="zh-CN"/>
        </w:rPr>
        <w:t>被评价单位</w:t>
      </w:r>
      <w:r>
        <w:rPr>
          <w:rFonts w:hint="eastAsia" w:ascii="仿宋" w:hAnsi="仿宋" w:eastAsia="仿宋" w:cs="仿宋"/>
          <w:sz w:val="28"/>
          <w:szCs w:val="28"/>
          <w:highlight w:val="none"/>
        </w:rPr>
        <w:t>，使其了解绩效评价结果，并针对性地结合绩效评价要求，巩固成果，整改问题，延续绩效评价结果的导向与激励作用。</w:t>
      </w:r>
    </w:p>
    <w:p>
      <w:pPr>
        <w:spacing w:line="560" w:lineRule="exact"/>
        <w:ind w:firstLine="560" w:firstLineChars="200"/>
        <w:outlineLvl w:val="0"/>
        <w:rPr>
          <w:rFonts w:ascii="仿宋" w:hAnsi="仿宋" w:eastAsia="仿宋" w:cs="仿宋"/>
          <w:sz w:val="28"/>
          <w:szCs w:val="28"/>
          <w:highlight w:val="none"/>
        </w:rPr>
      </w:pPr>
      <w:r>
        <w:rPr>
          <w:rFonts w:hint="eastAsia" w:ascii="仿宋" w:hAnsi="仿宋" w:eastAsia="仿宋" w:cs="仿宋"/>
          <w:sz w:val="28"/>
          <w:szCs w:val="28"/>
          <w:highlight w:val="none"/>
        </w:rPr>
        <w:t>（二）应在一定范围内通报或公示绩效评价结果。依据《政府信息公开条例》等相关规定，对绩效评价情况在一定范围内公开，或在相关网站，采取内部通报、公示的形式，公开绩效评价结果。促进和增强</w:t>
      </w:r>
      <w:r>
        <w:rPr>
          <w:rFonts w:hint="eastAsia" w:ascii="仿宋" w:hAnsi="仿宋" w:eastAsia="仿宋" w:cs="仿宋"/>
          <w:sz w:val="28"/>
          <w:szCs w:val="28"/>
          <w:highlight w:val="none"/>
          <w:lang w:eastAsia="zh-CN"/>
        </w:rPr>
        <w:t>被评价单位</w:t>
      </w:r>
      <w:r>
        <w:rPr>
          <w:rFonts w:hint="eastAsia" w:ascii="仿宋" w:hAnsi="仿宋" w:eastAsia="仿宋" w:cs="仿宋"/>
          <w:sz w:val="28"/>
          <w:szCs w:val="28"/>
          <w:highlight w:val="none"/>
        </w:rPr>
        <w:t>及社会各界对绩效评价工作重要性的认识，逐步形成社会监督机制，进一步提高财政资金绩效评价结果的影响和社会的理解认同。</w:t>
      </w:r>
    </w:p>
    <w:p>
      <w:pPr>
        <w:spacing w:line="560" w:lineRule="exact"/>
        <w:ind w:firstLine="560" w:firstLineChars="200"/>
        <w:outlineLvl w:val="0"/>
        <w:rPr>
          <w:rFonts w:hint="eastAsia" w:ascii="仿宋" w:hAnsi="仿宋" w:eastAsia="仿宋" w:cs="仿宋"/>
          <w:sz w:val="28"/>
          <w:szCs w:val="28"/>
          <w:highlight w:val="none"/>
        </w:rPr>
      </w:pPr>
      <w:r>
        <w:rPr>
          <w:rFonts w:hint="eastAsia" w:ascii="仿宋" w:hAnsi="仿宋" w:eastAsia="仿宋" w:cs="仿宋"/>
          <w:sz w:val="28"/>
          <w:szCs w:val="28"/>
          <w:highlight w:val="none"/>
        </w:rPr>
        <w:t>（三）将此次绩效评价结果作为以后年度财政资金分配的重要依据。</w:t>
      </w:r>
      <w:r>
        <w:rPr>
          <w:rFonts w:hint="eastAsia" w:ascii="仿宋" w:hAnsi="仿宋" w:eastAsia="仿宋" w:cs="仿宋"/>
          <w:sz w:val="28"/>
          <w:szCs w:val="28"/>
          <w:highlight w:val="none"/>
          <w:lang w:eastAsia="zh-CN"/>
        </w:rPr>
        <w:t>此次</w:t>
      </w:r>
      <w:r>
        <w:rPr>
          <w:rFonts w:hint="eastAsia" w:ascii="仿宋" w:hAnsi="仿宋" w:eastAsia="仿宋" w:cs="仿宋"/>
          <w:sz w:val="28"/>
          <w:szCs w:val="28"/>
          <w:highlight w:val="none"/>
        </w:rPr>
        <w:t>评价是对</w:t>
      </w:r>
      <w:r>
        <w:rPr>
          <w:rFonts w:hint="eastAsia" w:ascii="仿宋" w:hAnsi="仿宋" w:eastAsia="仿宋" w:cs="仿宋"/>
          <w:sz w:val="28"/>
          <w:szCs w:val="28"/>
          <w:highlight w:val="none"/>
          <w:lang w:eastAsia="zh-CN"/>
        </w:rPr>
        <w:t>该部门整体</w:t>
      </w:r>
      <w:r>
        <w:rPr>
          <w:rFonts w:hint="eastAsia" w:ascii="仿宋" w:hAnsi="仿宋" w:eastAsia="仿宋" w:cs="仿宋"/>
          <w:sz w:val="28"/>
          <w:szCs w:val="28"/>
          <w:highlight w:val="none"/>
        </w:rPr>
        <w:t>的评价，评价结果直接反应</w:t>
      </w:r>
      <w:r>
        <w:rPr>
          <w:rFonts w:hint="eastAsia" w:ascii="仿宋" w:hAnsi="仿宋" w:eastAsia="仿宋" w:cs="仿宋"/>
          <w:sz w:val="28"/>
          <w:szCs w:val="28"/>
          <w:highlight w:val="none"/>
          <w:lang w:eastAsia="zh-CN"/>
        </w:rPr>
        <w:t>部门整体实施情况</w:t>
      </w:r>
      <w:r>
        <w:rPr>
          <w:rFonts w:hint="eastAsia" w:ascii="仿宋" w:hAnsi="仿宋" w:eastAsia="仿宋" w:cs="仿宋"/>
          <w:sz w:val="28"/>
          <w:szCs w:val="28"/>
          <w:highlight w:val="none"/>
        </w:rPr>
        <w:t>。该项目评价结果为</w:t>
      </w:r>
      <w:r>
        <w:rPr>
          <w:rFonts w:hint="eastAsia" w:ascii="仿宋" w:hAnsi="仿宋" w:eastAsia="仿宋" w:cs="仿宋"/>
          <w:sz w:val="28"/>
          <w:szCs w:val="28"/>
          <w:highlight w:val="none"/>
          <w:lang w:val="en-US" w:eastAsia="zh-CN"/>
        </w:rPr>
        <w:t>良</w:t>
      </w:r>
      <w:r>
        <w:rPr>
          <w:rFonts w:hint="eastAsia" w:ascii="仿宋" w:hAnsi="仿宋" w:eastAsia="仿宋" w:cs="仿宋"/>
          <w:sz w:val="28"/>
          <w:szCs w:val="28"/>
          <w:highlight w:val="none"/>
        </w:rPr>
        <w:t>，应考虑继续给予资金支持。</w:t>
      </w:r>
    </w:p>
    <w:p>
      <w:pPr>
        <w:pStyle w:val="2"/>
      </w:pPr>
    </w:p>
    <w:p>
      <w:pPr>
        <w:spacing w:before="156" w:beforeLines="50" w:line="560" w:lineRule="exact"/>
        <w:ind w:left="1679" w:leftChars="266" w:hanging="1120" w:hangingChars="400"/>
        <w:jc w:val="left"/>
        <w:outlineLvl w:val="0"/>
        <w:rPr>
          <w:rFonts w:ascii="仿宋" w:hAnsi="仿宋" w:eastAsia="仿宋" w:cs="仿宋"/>
          <w:bCs/>
          <w:sz w:val="28"/>
          <w:szCs w:val="28"/>
          <w:highlight w:val="none"/>
        </w:rPr>
      </w:pPr>
      <w:bookmarkStart w:id="123" w:name="_Toc23457_WPSOffice_Level1"/>
      <w:bookmarkStart w:id="124" w:name="_Toc21511_WPSOffice_Level1"/>
      <w:bookmarkStart w:id="125" w:name="_Toc4995_WPSOffice_Level1"/>
      <w:bookmarkStart w:id="126" w:name="_Toc7342_WPSOffice_Level1"/>
      <w:bookmarkStart w:id="127" w:name="_Toc17050_WPSOffice_Level1"/>
      <w:bookmarkStart w:id="128" w:name="_Toc1166_WPSOffice_Level1"/>
      <w:bookmarkStart w:id="129" w:name="_Toc22410_WPSOffice_Level1"/>
      <w:bookmarkStart w:id="130" w:name="_Toc28236_WPSOffice_Level1"/>
      <w:bookmarkStart w:id="131" w:name="_Toc3198_WPSOffice_Level1"/>
      <w:bookmarkStart w:id="132" w:name="_Toc29826_WPSOffice_Level1"/>
      <w:bookmarkStart w:id="133" w:name="_Toc828_WPSOffice_Level1"/>
      <w:bookmarkStart w:id="134" w:name="_Toc6564_WPSOffice_Level1"/>
      <w:bookmarkStart w:id="135" w:name="_Toc3643_WPSOffice_Level1"/>
      <w:bookmarkStart w:id="136" w:name="_Toc31184_WPSOffice_Level1"/>
      <w:bookmarkStart w:id="137" w:name="_Toc29777_WPSOffice_Level1"/>
      <w:r>
        <w:rPr>
          <w:rFonts w:hint="eastAsia" w:ascii="仿宋" w:hAnsi="仿宋" w:eastAsia="仿宋" w:cs="仿宋"/>
          <w:bCs/>
          <w:sz w:val="28"/>
          <w:szCs w:val="28"/>
          <w:highlight w:val="none"/>
        </w:rPr>
        <w:t>附件1：</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Pr>
          <w:rFonts w:hint="eastAsia" w:ascii="仿宋" w:hAnsi="仿宋" w:eastAsia="仿宋" w:cs="仿宋"/>
          <w:bCs/>
          <w:sz w:val="28"/>
          <w:szCs w:val="28"/>
          <w:highlight w:val="none"/>
        </w:rPr>
        <w:t>整体支出绩效评价指标评分表</w:t>
      </w:r>
    </w:p>
    <w:p>
      <w:pPr>
        <w:spacing w:line="560" w:lineRule="exact"/>
        <w:ind w:firstLine="560" w:firstLineChars="200"/>
        <w:jc w:val="left"/>
        <w:outlineLvl w:val="0"/>
        <w:rPr>
          <w:rFonts w:ascii="仿宋" w:hAnsi="仿宋" w:eastAsia="仿宋" w:cs="仿宋"/>
          <w:bCs/>
          <w:sz w:val="28"/>
          <w:szCs w:val="28"/>
          <w:highlight w:val="none"/>
        </w:rPr>
      </w:pPr>
      <w:bookmarkStart w:id="138" w:name="_Toc6837_WPSOffice_Level1"/>
      <w:bookmarkStart w:id="139" w:name="_Toc20234_WPSOffice_Level1"/>
      <w:bookmarkStart w:id="140" w:name="_Toc23757_WPSOffice_Level1"/>
      <w:bookmarkStart w:id="141" w:name="_Toc32331_WPSOffice_Level1"/>
      <w:bookmarkStart w:id="142" w:name="_Toc10460_WPSOffice_Level1"/>
      <w:bookmarkStart w:id="143" w:name="_Toc28421_WPSOffice_Level1"/>
      <w:bookmarkStart w:id="144" w:name="_Toc17413_WPSOffice_Level1"/>
      <w:bookmarkStart w:id="145" w:name="_Toc28491_WPSOffice_Level1"/>
      <w:bookmarkStart w:id="146" w:name="_Toc25268_WPSOffice_Level1"/>
      <w:bookmarkStart w:id="147" w:name="_Toc1812_WPSOffice_Level1"/>
      <w:bookmarkStart w:id="148" w:name="_Toc19521_WPSOffice_Level1"/>
      <w:bookmarkStart w:id="149" w:name="_Toc19501_WPSOffice_Level1"/>
      <w:bookmarkStart w:id="150" w:name="_Toc23617_WPSOffice_Level1"/>
      <w:bookmarkStart w:id="151" w:name="_Toc32669_WPSOffice_Level1"/>
      <w:bookmarkStart w:id="152" w:name="_Toc19843_WPSOffice_Level1"/>
      <w:r>
        <w:rPr>
          <w:rFonts w:hint="eastAsia" w:ascii="仿宋" w:hAnsi="仿宋" w:eastAsia="仿宋" w:cs="仿宋"/>
          <w:bCs/>
          <w:sz w:val="28"/>
          <w:szCs w:val="28"/>
          <w:highlight w:val="none"/>
        </w:rPr>
        <w:t>附件2：调查问卷分析报告</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pPr>
        <w:spacing w:line="560" w:lineRule="exact"/>
        <w:ind w:firstLine="560" w:firstLineChars="200"/>
        <w:jc w:val="left"/>
        <w:outlineLvl w:val="0"/>
        <w:rPr>
          <w:rFonts w:hint="eastAsia" w:ascii="仿宋" w:hAnsi="仿宋" w:eastAsia="仿宋" w:cs="仿宋"/>
          <w:bCs/>
          <w:sz w:val="28"/>
          <w:szCs w:val="28"/>
          <w:highlight w:val="none"/>
        </w:rPr>
      </w:pPr>
      <w:bookmarkStart w:id="153" w:name="_Toc10661_WPSOffice_Level1"/>
      <w:bookmarkStart w:id="154" w:name="_Toc26483_WPSOffice_Level1"/>
      <w:bookmarkStart w:id="155" w:name="_Toc23722_WPSOffice_Level1"/>
      <w:bookmarkStart w:id="156" w:name="_Toc3703_WPSOffice_Level1"/>
      <w:bookmarkStart w:id="157" w:name="_Toc10767_WPSOffice_Level1"/>
      <w:bookmarkStart w:id="158" w:name="_Toc13567_WPSOffice_Level1"/>
      <w:bookmarkStart w:id="159" w:name="_Toc9132_WPSOffice_Level1"/>
      <w:bookmarkStart w:id="160" w:name="_Toc25524_WPSOffice_Level1"/>
      <w:bookmarkStart w:id="161" w:name="_Toc11054_WPSOffice_Level1"/>
      <w:bookmarkStart w:id="162" w:name="_Toc16586_WPSOffice_Level1"/>
      <w:bookmarkStart w:id="163" w:name="_Toc5800_WPSOffice_Level1"/>
      <w:bookmarkStart w:id="164" w:name="_Toc24243_WPSOffice_Level1"/>
      <w:bookmarkStart w:id="165" w:name="_Toc13762_WPSOffice_Level1"/>
      <w:bookmarkStart w:id="166" w:name="_Toc2871_WPSOffice_Level1"/>
      <w:bookmarkStart w:id="167" w:name="_Toc4966_WPSOffice_Level1"/>
      <w:r>
        <w:rPr>
          <w:rFonts w:hint="eastAsia" w:ascii="仿宋" w:hAnsi="仿宋" w:eastAsia="仿宋" w:cs="仿宋"/>
          <w:bCs/>
          <w:sz w:val="28"/>
          <w:szCs w:val="28"/>
          <w:highlight w:val="none"/>
        </w:rPr>
        <w:t>附件3：反映绩效的照片</w:t>
      </w:r>
    </w:p>
    <w:p>
      <w:pPr>
        <w:spacing w:line="560" w:lineRule="exact"/>
        <w:ind w:firstLine="560" w:firstLineChars="200"/>
        <w:jc w:val="left"/>
        <w:outlineLvl w:val="0"/>
        <w:rPr>
          <w:rFonts w:hint="eastAsia" w:ascii="仿宋" w:hAnsi="仿宋" w:eastAsia="仿宋" w:cs="仿宋"/>
          <w:bCs/>
          <w:sz w:val="28"/>
          <w:szCs w:val="28"/>
          <w:highlight w:val="none"/>
        </w:rPr>
      </w:pPr>
      <w:r>
        <w:rPr>
          <w:rFonts w:hint="eastAsia" w:ascii="仿宋" w:hAnsi="仿宋" w:eastAsia="仿宋" w:cs="仿宋"/>
          <w:bCs/>
          <w:sz w:val="28"/>
          <w:szCs w:val="28"/>
          <w:highlight w:val="none"/>
        </w:rPr>
        <w:t>附件</w:t>
      </w:r>
      <w:r>
        <w:rPr>
          <w:rFonts w:hint="eastAsia" w:ascii="仿宋" w:hAnsi="仿宋" w:eastAsia="仿宋" w:cs="仿宋"/>
          <w:bCs/>
          <w:sz w:val="28"/>
          <w:szCs w:val="28"/>
          <w:highlight w:val="none"/>
          <w:lang w:val="en-US" w:eastAsia="zh-CN"/>
        </w:rPr>
        <w:t>4</w:t>
      </w:r>
      <w:r>
        <w:rPr>
          <w:rFonts w:hint="eastAsia" w:ascii="仿宋" w:hAnsi="仿宋" w:eastAsia="仿宋" w:cs="仿宋"/>
          <w:bCs/>
          <w:sz w:val="28"/>
          <w:szCs w:val="28"/>
          <w:highlight w:val="none"/>
        </w:rPr>
        <w:t>：</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Pr>
          <w:rFonts w:hint="eastAsia" w:ascii="仿宋" w:hAnsi="仿宋" w:eastAsia="仿宋" w:cs="仿宋"/>
          <w:bCs/>
          <w:sz w:val="28"/>
          <w:szCs w:val="28"/>
          <w:highlight w:val="none"/>
        </w:rPr>
        <w:t>整体支出绩效评价合规性检查</w:t>
      </w:r>
    </w:p>
    <w:p>
      <w:pPr>
        <w:pStyle w:val="2"/>
        <w:rPr>
          <w:rFonts w:hint="eastAsia"/>
        </w:rPr>
      </w:pPr>
    </w:p>
    <w:p>
      <w:pPr>
        <w:pStyle w:val="2"/>
        <w:rPr>
          <w:rFonts w:hint="eastAsia"/>
        </w:rPr>
      </w:pPr>
    </w:p>
    <w:p>
      <w:pPr>
        <w:spacing w:line="640" w:lineRule="exact"/>
        <w:ind w:firstLine="556"/>
        <w:jc w:val="right"/>
        <w:rPr>
          <w:rFonts w:ascii="仿宋" w:hAnsi="仿宋" w:eastAsia="仿宋" w:cs="仿宋"/>
          <w:sz w:val="28"/>
          <w:szCs w:val="28"/>
          <w:highlight w:val="none"/>
        </w:rPr>
      </w:pPr>
      <w:r>
        <w:rPr>
          <w:rFonts w:hint="eastAsia" w:ascii="仿宋" w:hAnsi="仿宋" w:eastAsia="仿宋" w:cs="仿宋"/>
          <w:sz w:val="28"/>
          <w:szCs w:val="28"/>
          <w:highlight w:val="none"/>
        </w:rPr>
        <w:t>山西广和会计师事务所有限公司</w:t>
      </w:r>
    </w:p>
    <w:p>
      <w:pPr>
        <w:adjustRightInd w:val="0"/>
        <w:snapToGrid w:val="0"/>
        <w:spacing w:line="640" w:lineRule="exact"/>
        <w:ind w:firstLine="560" w:firstLineChars="200"/>
        <w:rPr>
          <w:rFonts w:hint="eastAsia" w:ascii="仿宋" w:hAnsi="仿宋" w:eastAsia="仿宋" w:cs="仿宋"/>
          <w:sz w:val="28"/>
          <w:szCs w:val="28"/>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sz w:val="28"/>
          <w:szCs w:val="28"/>
          <w:highlight w:val="none"/>
        </w:rPr>
        <w:t xml:space="preserve">                                </w:t>
      </w:r>
      <w:r>
        <w:rPr>
          <w:rFonts w:ascii="仿宋" w:hAnsi="仿宋" w:eastAsia="仿宋" w:cs="仿宋"/>
          <w:sz w:val="28"/>
          <w:szCs w:val="28"/>
          <w:highlight w:val="none"/>
        </w:rPr>
        <w:t xml:space="preserve">  </w:t>
      </w:r>
      <w:r>
        <w:rPr>
          <w:rFonts w:hint="eastAsia" w:ascii="仿宋" w:hAnsi="仿宋" w:eastAsia="仿宋" w:cs="仿宋"/>
          <w:sz w:val="28"/>
          <w:szCs w:val="28"/>
          <w:highlight w:val="none"/>
        </w:rPr>
        <w:t>20</w:t>
      </w:r>
      <w:r>
        <w:rPr>
          <w:rFonts w:hint="eastAsia" w:ascii="仿宋" w:hAnsi="仿宋" w:eastAsia="仿宋" w:cs="仿宋"/>
          <w:sz w:val="28"/>
          <w:szCs w:val="28"/>
          <w:highlight w:val="none"/>
          <w:lang w:val="en-US" w:eastAsia="zh-CN"/>
        </w:rPr>
        <w:t>21</w:t>
      </w:r>
      <w:r>
        <w:rPr>
          <w:rFonts w:hint="eastAsia" w:ascii="仿宋" w:hAnsi="仿宋" w:eastAsia="仿宋" w:cs="仿宋"/>
          <w:sz w:val="28"/>
          <w:szCs w:val="28"/>
          <w:highlight w:val="none"/>
        </w:rPr>
        <w:t>年</w:t>
      </w:r>
      <w:r>
        <w:rPr>
          <w:rFonts w:hint="eastAsia" w:ascii="仿宋" w:hAnsi="仿宋" w:eastAsia="仿宋" w:cs="仿宋"/>
          <w:sz w:val="28"/>
          <w:szCs w:val="28"/>
          <w:highlight w:val="none"/>
          <w:lang w:val="en-US" w:eastAsia="zh-CN"/>
        </w:rPr>
        <w:t>10</w:t>
      </w:r>
      <w:r>
        <w:rPr>
          <w:rFonts w:hint="eastAsia" w:ascii="仿宋" w:hAnsi="仿宋" w:eastAsia="仿宋" w:cs="仿宋"/>
          <w:sz w:val="28"/>
          <w:szCs w:val="28"/>
          <w:highlight w:val="none"/>
        </w:rPr>
        <w:t>月</w:t>
      </w:r>
      <w:r>
        <w:rPr>
          <w:rFonts w:hint="eastAsia" w:ascii="仿宋" w:hAnsi="仿宋" w:eastAsia="仿宋" w:cs="仿宋"/>
          <w:sz w:val="28"/>
          <w:szCs w:val="28"/>
          <w:highlight w:val="none"/>
          <w:lang w:val="en-US" w:eastAsia="zh-CN"/>
        </w:rPr>
        <w:t>10</w:t>
      </w:r>
      <w:r>
        <w:rPr>
          <w:rFonts w:hint="eastAsia" w:ascii="仿宋" w:hAnsi="仿宋" w:eastAsia="仿宋" w:cs="仿宋"/>
          <w:sz w:val="28"/>
          <w:szCs w:val="28"/>
          <w:highlight w:val="none"/>
        </w:rPr>
        <w:t>日</w:t>
      </w:r>
    </w:p>
    <w:tbl>
      <w:tblPr>
        <w:tblStyle w:val="7"/>
        <w:tblW w:w="4997" w:type="pct"/>
        <w:jc w:val="center"/>
        <w:shd w:val="clear" w:color="auto" w:fill="auto"/>
        <w:tblLayout w:type="autofit"/>
        <w:tblCellMar>
          <w:top w:w="0" w:type="dxa"/>
          <w:left w:w="0" w:type="dxa"/>
          <w:bottom w:w="0" w:type="dxa"/>
          <w:right w:w="0" w:type="dxa"/>
        </w:tblCellMar>
      </w:tblPr>
      <w:tblGrid>
        <w:gridCol w:w="768"/>
        <w:gridCol w:w="773"/>
        <w:gridCol w:w="667"/>
        <w:gridCol w:w="429"/>
        <w:gridCol w:w="3409"/>
        <w:gridCol w:w="894"/>
        <w:gridCol w:w="6466"/>
        <w:gridCol w:w="562"/>
      </w:tblGrid>
      <w:tr>
        <w:tblPrEx>
          <w:shd w:val="clear" w:color="auto" w:fill="auto"/>
          <w:tblCellMar>
            <w:top w:w="0" w:type="dxa"/>
            <w:left w:w="0" w:type="dxa"/>
            <w:bottom w:w="0" w:type="dxa"/>
            <w:right w:w="0" w:type="dxa"/>
          </w:tblCellMar>
        </w:tblPrEx>
        <w:trPr>
          <w:trHeight w:val="300" w:hRule="atLeast"/>
          <w:tblHeader/>
          <w:jc w:val="center"/>
        </w:trPr>
        <w:tc>
          <w:tcPr>
            <w:tcW w:w="274" w:type="pct"/>
            <w:tcBorders>
              <w:top w:val="nil"/>
              <w:left w:val="nil"/>
              <w:bottom w:val="nil"/>
              <w:right w:val="nil"/>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附件1：</w:t>
            </w:r>
          </w:p>
        </w:tc>
        <w:tc>
          <w:tcPr>
            <w:tcW w:w="277" w:type="pct"/>
            <w:tcBorders>
              <w:top w:val="nil"/>
              <w:left w:val="nil"/>
              <w:bottom w:val="nil"/>
              <w:right w:val="nil"/>
            </w:tcBorders>
            <w:shd w:val="clear" w:color="auto" w:fill="auto"/>
            <w:noWrap/>
            <w:tcMar>
              <w:top w:w="9" w:type="dxa"/>
              <w:left w:w="9" w:type="dxa"/>
              <w:right w:w="9" w:type="dxa"/>
            </w:tcMar>
            <w:vAlign w:val="center"/>
          </w:tcPr>
          <w:p>
            <w:pPr>
              <w:rPr>
                <w:rFonts w:hint="eastAsia" w:ascii="仿宋" w:hAnsi="仿宋" w:eastAsia="仿宋" w:cs="仿宋"/>
                <w:i w:val="0"/>
                <w:color w:val="000000"/>
                <w:sz w:val="24"/>
                <w:szCs w:val="24"/>
                <w:u w:val="none"/>
              </w:rPr>
            </w:pPr>
          </w:p>
        </w:tc>
        <w:tc>
          <w:tcPr>
            <w:tcW w:w="237" w:type="pct"/>
            <w:tcBorders>
              <w:top w:val="nil"/>
              <w:left w:val="nil"/>
              <w:bottom w:val="nil"/>
              <w:right w:val="nil"/>
            </w:tcBorders>
            <w:shd w:val="clear" w:color="auto" w:fill="auto"/>
            <w:noWrap/>
            <w:tcMar>
              <w:top w:w="9" w:type="dxa"/>
              <w:left w:w="9" w:type="dxa"/>
              <w:right w:w="9" w:type="dxa"/>
            </w:tcMar>
            <w:vAlign w:val="center"/>
          </w:tcPr>
          <w:p>
            <w:pPr>
              <w:jc w:val="left"/>
              <w:rPr>
                <w:rFonts w:hint="eastAsia" w:ascii="仿宋" w:hAnsi="仿宋" w:eastAsia="仿宋" w:cs="仿宋"/>
                <w:i w:val="0"/>
                <w:color w:val="000000"/>
                <w:sz w:val="24"/>
                <w:szCs w:val="24"/>
                <w:u w:val="none"/>
              </w:rPr>
            </w:pPr>
          </w:p>
        </w:tc>
        <w:tc>
          <w:tcPr>
            <w:tcW w:w="154" w:type="pct"/>
            <w:tcBorders>
              <w:top w:val="nil"/>
              <w:left w:val="nil"/>
              <w:bottom w:val="nil"/>
              <w:right w:val="nil"/>
            </w:tcBorders>
            <w:shd w:val="clear" w:color="auto" w:fill="auto"/>
            <w:noWrap/>
            <w:tcMar>
              <w:top w:w="9" w:type="dxa"/>
              <w:left w:w="9" w:type="dxa"/>
              <w:right w:w="9" w:type="dxa"/>
            </w:tcMar>
            <w:vAlign w:val="center"/>
          </w:tcPr>
          <w:p>
            <w:pPr>
              <w:jc w:val="center"/>
              <w:rPr>
                <w:rFonts w:hint="eastAsia" w:ascii="仿宋" w:hAnsi="仿宋" w:eastAsia="仿宋" w:cs="仿宋"/>
                <w:i w:val="0"/>
                <w:color w:val="000000"/>
                <w:sz w:val="24"/>
                <w:szCs w:val="24"/>
                <w:u w:val="none"/>
              </w:rPr>
            </w:pPr>
          </w:p>
        </w:tc>
        <w:tc>
          <w:tcPr>
            <w:tcW w:w="1220" w:type="pct"/>
            <w:tcBorders>
              <w:top w:val="nil"/>
              <w:left w:val="nil"/>
              <w:bottom w:val="nil"/>
              <w:right w:val="nil"/>
            </w:tcBorders>
            <w:shd w:val="clear" w:color="auto" w:fill="auto"/>
            <w:noWrap/>
            <w:tcMar>
              <w:top w:w="9" w:type="dxa"/>
              <w:left w:w="9" w:type="dxa"/>
              <w:right w:w="9" w:type="dxa"/>
            </w:tcMar>
            <w:vAlign w:val="center"/>
          </w:tcPr>
          <w:p>
            <w:pPr>
              <w:rPr>
                <w:rFonts w:hint="eastAsia" w:ascii="仿宋" w:hAnsi="仿宋" w:eastAsia="仿宋" w:cs="仿宋"/>
                <w:i w:val="0"/>
                <w:color w:val="000000"/>
                <w:sz w:val="24"/>
                <w:szCs w:val="24"/>
                <w:u w:val="none"/>
              </w:rPr>
            </w:pPr>
          </w:p>
        </w:tc>
        <w:tc>
          <w:tcPr>
            <w:tcW w:w="320" w:type="pct"/>
            <w:tcBorders>
              <w:top w:val="nil"/>
              <w:left w:val="nil"/>
              <w:bottom w:val="nil"/>
              <w:right w:val="nil"/>
            </w:tcBorders>
            <w:shd w:val="clear" w:color="auto" w:fill="auto"/>
            <w:noWrap/>
            <w:tcMar>
              <w:top w:w="9" w:type="dxa"/>
              <w:left w:w="9" w:type="dxa"/>
              <w:right w:w="9" w:type="dxa"/>
            </w:tcMar>
            <w:vAlign w:val="center"/>
          </w:tcPr>
          <w:p>
            <w:pPr>
              <w:rPr>
                <w:rFonts w:hint="eastAsia" w:ascii="仿宋" w:hAnsi="仿宋" w:eastAsia="仿宋" w:cs="仿宋"/>
                <w:i w:val="0"/>
                <w:color w:val="000000"/>
                <w:sz w:val="24"/>
                <w:szCs w:val="24"/>
                <w:u w:val="none"/>
              </w:rPr>
            </w:pPr>
          </w:p>
        </w:tc>
        <w:tc>
          <w:tcPr>
            <w:tcW w:w="2313" w:type="pct"/>
            <w:tcBorders>
              <w:top w:val="nil"/>
              <w:left w:val="nil"/>
              <w:bottom w:val="nil"/>
              <w:right w:val="nil"/>
            </w:tcBorders>
            <w:shd w:val="clear" w:color="auto" w:fill="auto"/>
            <w:noWrap/>
            <w:tcMar>
              <w:top w:w="9" w:type="dxa"/>
              <w:left w:w="9" w:type="dxa"/>
              <w:right w:w="9" w:type="dxa"/>
            </w:tcMar>
            <w:vAlign w:val="center"/>
          </w:tcPr>
          <w:p>
            <w:pPr>
              <w:rPr>
                <w:rFonts w:hint="eastAsia" w:ascii="仿宋" w:hAnsi="仿宋" w:eastAsia="仿宋" w:cs="仿宋"/>
                <w:i w:val="0"/>
                <w:color w:val="000000"/>
                <w:sz w:val="24"/>
                <w:szCs w:val="24"/>
                <w:u w:val="none"/>
              </w:rPr>
            </w:pPr>
          </w:p>
        </w:tc>
        <w:tc>
          <w:tcPr>
            <w:tcW w:w="201" w:type="pct"/>
            <w:tcBorders>
              <w:top w:val="nil"/>
              <w:left w:val="nil"/>
              <w:bottom w:val="nil"/>
              <w:right w:val="nil"/>
            </w:tcBorders>
            <w:shd w:val="clear" w:color="auto" w:fill="auto"/>
            <w:noWrap/>
            <w:tcMar>
              <w:top w:w="9" w:type="dxa"/>
              <w:left w:w="9" w:type="dxa"/>
              <w:right w:w="9" w:type="dxa"/>
            </w:tcMar>
            <w:vAlign w:val="center"/>
          </w:tcPr>
          <w:p>
            <w:pPr>
              <w:rPr>
                <w:rFonts w:hint="eastAsia" w:ascii="仿宋" w:hAnsi="仿宋" w:eastAsia="仿宋" w:cs="仿宋"/>
                <w:i w:val="0"/>
                <w:color w:val="000000"/>
                <w:sz w:val="24"/>
                <w:szCs w:val="24"/>
                <w:u w:val="none"/>
              </w:rPr>
            </w:pPr>
          </w:p>
        </w:tc>
      </w:tr>
      <w:tr>
        <w:tblPrEx>
          <w:tblCellMar>
            <w:top w:w="0" w:type="dxa"/>
            <w:left w:w="0" w:type="dxa"/>
            <w:bottom w:w="0" w:type="dxa"/>
            <w:right w:w="0" w:type="dxa"/>
          </w:tblCellMar>
        </w:tblPrEx>
        <w:trPr>
          <w:trHeight w:val="90" w:hRule="atLeast"/>
          <w:tblHeader/>
          <w:jc w:val="center"/>
        </w:trPr>
        <w:tc>
          <w:tcPr>
            <w:tcW w:w="4798" w:type="pct"/>
            <w:gridSpan w:val="7"/>
            <w:tcBorders>
              <w:top w:val="nil"/>
              <w:left w:val="nil"/>
              <w:bottom w:val="nil"/>
              <w:right w:val="nil"/>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32"/>
                <w:szCs w:val="32"/>
                <w:u w:val="none"/>
              </w:rPr>
            </w:pPr>
            <w:r>
              <w:rPr>
                <w:rFonts w:hint="eastAsia" w:ascii="仿宋" w:hAnsi="仿宋" w:eastAsia="仿宋" w:cs="仿宋"/>
                <w:b/>
                <w:i w:val="0"/>
                <w:color w:val="000000"/>
                <w:kern w:val="0"/>
                <w:sz w:val="32"/>
                <w:szCs w:val="32"/>
                <w:u w:val="none"/>
                <w:lang w:val="en-US" w:eastAsia="zh-CN" w:bidi="ar"/>
              </w:rPr>
              <w:t>临猗县老干部局部门整体支出绩效评价指标表（履职效能）</w:t>
            </w:r>
          </w:p>
        </w:tc>
        <w:tc>
          <w:tcPr>
            <w:tcW w:w="201" w:type="pct"/>
            <w:tcBorders>
              <w:top w:val="nil"/>
              <w:left w:val="nil"/>
              <w:bottom w:val="nil"/>
              <w:right w:val="nil"/>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32"/>
                <w:szCs w:val="32"/>
                <w:u w:val="none"/>
                <w:lang w:val="en-US" w:eastAsia="zh-CN" w:bidi="ar"/>
              </w:rPr>
            </w:pPr>
          </w:p>
        </w:tc>
      </w:tr>
      <w:tr>
        <w:tblPrEx>
          <w:tblCellMar>
            <w:top w:w="0" w:type="dxa"/>
            <w:left w:w="0" w:type="dxa"/>
            <w:bottom w:w="0" w:type="dxa"/>
            <w:right w:w="0" w:type="dxa"/>
          </w:tblCellMar>
        </w:tblPrEx>
        <w:trPr>
          <w:trHeight w:val="479" w:hRule="atLeast"/>
          <w:tblHeader/>
          <w:jc w:val="center"/>
        </w:trPr>
        <w:tc>
          <w:tcPr>
            <w:tcW w:w="27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一级</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指标</w:t>
            </w:r>
          </w:p>
        </w:tc>
        <w:tc>
          <w:tcPr>
            <w:tcW w:w="27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二级</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指标</w:t>
            </w:r>
          </w:p>
        </w:tc>
        <w:tc>
          <w:tcPr>
            <w:tcW w:w="237"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三级指标</w:t>
            </w:r>
          </w:p>
        </w:tc>
        <w:tc>
          <w:tcPr>
            <w:tcW w:w="15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权重</w:t>
            </w:r>
          </w:p>
        </w:tc>
        <w:tc>
          <w:tcPr>
            <w:tcW w:w="122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指标解释</w:t>
            </w:r>
          </w:p>
        </w:tc>
        <w:tc>
          <w:tcPr>
            <w:tcW w:w="32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评分依据</w:t>
            </w:r>
          </w:p>
        </w:tc>
        <w:tc>
          <w:tcPr>
            <w:tcW w:w="231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评分标准</w:t>
            </w:r>
          </w:p>
        </w:tc>
        <w:tc>
          <w:tcPr>
            <w:tcW w:w="20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b/>
                <w:i w:val="0"/>
                <w:color w:val="000000"/>
                <w:kern w:val="0"/>
                <w:sz w:val="20"/>
                <w:szCs w:val="20"/>
                <w:u w:val="none"/>
                <w:lang w:val="en-US" w:eastAsia="zh-CN" w:bidi="ar"/>
              </w:rPr>
            </w:pPr>
            <w:r>
              <w:rPr>
                <w:rFonts w:hint="eastAsia" w:ascii="仿宋" w:hAnsi="仿宋" w:eastAsia="仿宋" w:cs="仿宋"/>
                <w:b/>
                <w:i w:val="0"/>
                <w:color w:val="000000"/>
                <w:kern w:val="0"/>
                <w:sz w:val="20"/>
                <w:szCs w:val="20"/>
                <w:u w:val="none"/>
                <w:lang w:val="en-US" w:eastAsia="zh-CN" w:bidi="ar"/>
              </w:rPr>
              <w:t>分值</w:t>
            </w:r>
          </w:p>
        </w:tc>
      </w:tr>
      <w:tr>
        <w:tblPrEx>
          <w:tblCellMar>
            <w:top w:w="0" w:type="dxa"/>
            <w:left w:w="0" w:type="dxa"/>
            <w:bottom w:w="0" w:type="dxa"/>
            <w:right w:w="0" w:type="dxa"/>
          </w:tblCellMar>
        </w:tblPrEx>
        <w:trPr>
          <w:trHeight w:val="848" w:hRule="atLeast"/>
          <w:jc w:val="center"/>
        </w:trPr>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履职效能</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(20分）</w:t>
            </w:r>
          </w:p>
        </w:tc>
        <w:tc>
          <w:tcPr>
            <w:tcW w:w="773"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工作目标设定</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（3分）</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目标任务设定情况</w:t>
            </w:r>
          </w:p>
        </w:tc>
        <w:tc>
          <w:tcPr>
            <w:tcW w:w="42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部门设定的年度工作目标的依据充分性、科学合理性、任务明确性三方面的情况；考核部门设定的年度工作目标的依据是否充分、任务分配是否科学合理、工作目标是否指向明确；用以反映临猗县老干部局2020年度目标任务设定情况。</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通用标准</w:t>
            </w:r>
          </w:p>
        </w:tc>
        <w:tc>
          <w:tcPr>
            <w:tcW w:w="6466"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①临猗县老干部局设定的年度工作目标符合国家法律法规、经济和社会发展规划要求，与部门《三定方案》职责相关联，且具有文件依据，得1分，否则不得分；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②临猗县老干部局设定的工作目标科学合理、内容全面，得1分，否则不得分；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③临猗县老干部局设定的工作目标可衡量，具备量化或定性条件，得1分，否则不得分。</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3</w:t>
            </w:r>
          </w:p>
        </w:tc>
      </w:tr>
      <w:tr>
        <w:tblPrEx>
          <w:tblCellMar>
            <w:top w:w="0" w:type="dxa"/>
            <w:left w:w="0" w:type="dxa"/>
            <w:bottom w:w="0" w:type="dxa"/>
            <w:right w:w="0" w:type="dxa"/>
          </w:tblCellMar>
        </w:tblPrEx>
        <w:trPr>
          <w:trHeight w:val="402"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773" w:type="dxa"/>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目标任务实现情况（11分）</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待遇落实工作完成情况</w:t>
            </w:r>
          </w:p>
        </w:tc>
        <w:tc>
          <w:tcPr>
            <w:tcW w:w="42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部门在2020年度对离退休干部的政治待遇、生活待遇落实情况，反映部门对离退休干部政治待遇、生活待遇方面的职责履行情况。（对于基数大、人数多的工作，采用比例扣分；基数小、人数少的工作，采用定额扣分）</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计划标准</w:t>
            </w:r>
          </w:p>
        </w:tc>
        <w:tc>
          <w:tcPr>
            <w:tcW w:w="6466"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①按照年初计划，完成离退休干部2020年春节慰问，得0.5分，否则按照实际慰问人数与年初计划慰问人数的比例扣分，扣完为止。</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②离退休干部慰问品按照计划时间发放得0.5分，否则不得分。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③按照年初计划，完成对县级老领导“两会”服务工作，得0.5分，否则不得分。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④对本年度出现的死亡离退休干部，完成抚恤金申领发放工作，得0.5分，否则不得分。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⑤离退休干部死亡抚恤金按照规定时间发放得0.5分，否则不得分。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⑥按照年初计划，组织离退休干部进行体检，且参与体检人数与应体检人数一致得0.5分，否则每少1人扣0.1分，扣完为止；未参加统一体检，但2020年度自行体检的不计入未体检人数。</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⑦对不同年龄段的离退休干部，有针对性的设置基础项目体检和专项体检，得0.5分，否则不得分。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⑧2020年度老干部因政治待遇或生活待遇提出投诉，每投诉1人或1次，扣0.5分。包括：春节慰问工作、两会服务工作、体检工作。</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3</w:t>
            </w:r>
          </w:p>
        </w:tc>
      </w:tr>
      <w:tr>
        <w:tblPrEx>
          <w:tblCellMar>
            <w:top w:w="0" w:type="dxa"/>
            <w:left w:w="0" w:type="dxa"/>
            <w:bottom w:w="0" w:type="dxa"/>
            <w:right w:w="0" w:type="dxa"/>
          </w:tblCellMar>
        </w:tblPrEx>
        <w:trPr>
          <w:trHeight w:val="489"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773"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服务管理工作完成情况</w:t>
            </w:r>
          </w:p>
        </w:tc>
        <w:tc>
          <w:tcPr>
            <w:tcW w:w="42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4</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评价部门2020年度服务管理工作完成情况，包括：服务管理离退休干部人数及范围是否全面，困难离退休干部帮扶工作是否完成，县团级离退休干部节日慰问工作是否完成，舆论宣传工作是否完成。</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计划标准</w:t>
            </w:r>
          </w:p>
        </w:tc>
        <w:tc>
          <w:tcPr>
            <w:tcW w:w="6466"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①服务管理工作建立管理台账或系统且运行得0.5分，否则不得分。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②2020年对全县离退休干部管理台账或系统进行梳理，对服务和管理对象的信息进行更新，离退休干部相关信息准确得0.5分，否则不得分。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③当年度新增的离退休干部按照规定时间纳入部门服务管理范围的得0.5分，否则不得分。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④2020年度服务及管理离退休干部人数、次数与年初计划数一致得0.5分，否则按照实际人数、次数与计划数比例扣分，扣完为止。</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⑤2020年度对部门服务管理范围内的离退休干部进行困难户排查认定，且帮扶困难离退休干部人数与年初计划人数一致的得0.5分，每少1人扣0.1分，扣完为止。</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⑥当年符合困难离退休干部标准的，按照规定时间进行帮扶或认定的得0.5分，否则不得分。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⑦节日慰问县团级离退休干部人数与年初计划人数一致得0.5分，每少1人扣0.1分，扣完为止。</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⑧在媒体宣传或报送老干部正能量活动情况，宣传老干部先进事例，得0.5分，否则不得分。</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4</w:t>
            </w:r>
          </w:p>
        </w:tc>
      </w:tr>
      <w:tr>
        <w:tblPrEx>
          <w:tblCellMar>
            <w:top w:w="0" w:type="dxa"/>
            <w:left w:w="0" w:type="dxa"/>
            <w:bottom w:w="0" w:type="dxa"/>
            <w:right w:w="0" w:type="dxa"/>
          </w:tblCellMar>
        </w:tblPrEx>
        <w:trPr>
          <w:trHeight w:val="714"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773"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离退休干部及老年人活动阵地管理工作完成情况</w:t>
            </w:r>
          </w:p>
        </w:tc>
        <w:tc>
          <w:tcPr>
            <w:tcW w:w="42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评价部门2020年度对离退休干部活动阵地管理工作完成情况，包括：活动场所修缮工作完成情况，老干部活动中心、老年大学、老干部党支部、3个老年协会组织人员进行学习教育、文体娱乐等工作完成情况。</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计划标准</w:t>
            </w:r>
          </w:p>
        </w:tc>
        <w:tc>
          <w:tcPr>
            <w:tcW w:w="6466"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①按照年初计划，对老年大学及老干部活动中心进行修缮，且修缮未出现质量问题，得0.2分，出现1处质量问题扣0.1分，扣完为止。</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②对王申村、西陈村2处村级老年大学采购桌椅家具，未超计划得0.2分，超出或不满足使用需求不得分。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③老年大学按照计划内容或宗旨开展学习教育，按照课程表进行学习教育及文体活动的得0.2分；查看上课记录，每缺课1次扣0.1分，扣完为止。</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④老年书画协会、音乐舞蹈协会、体协3个协会按照计划内容或宗旨举办活动，执行得0.2分，每个协会未执行扣0.1分。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⑤举办老干部党支部培训班，举办得0.1分，未举办不得分。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⑥离退休干部党支部组织“三会一课”当年不少于12次得0.1分，每少1次扣0.01分，扣完为止。</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1.9</w:t>
            </w:r>
          </w:p>
        </w:tc>
      </w:tr>
      <w:tr>
        <w:tblPrEx>
          <w:tblCellMar>
            <w:top w:w="0" w:type="dxa"/>
            <w:left w:w="0" w:type="dxa"/>
            <w:bottom w:w="0" w:type="dxa"/>
            <w:right w:w="0" w:type="dxa"/>
          </w:tblCellMar>
        </w:tblPrEx>
        <w:trPr>
          <w:trHeight w:val="990"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773"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其他工作完成情况</w:t>
            </w:r>
          </w:p>
        </w:tc>
        <w:tc>
          <w:tcPr>
            <w:tcW w:w="42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评价部门2020年度党建、扶贫及其他日常工作完成情况。</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计划标准</w:t>
            </w:r>
          </w:p>
        </w:tc>
        <w:tc>
          <w:tcPr>
            <w:tcW w:w="6466"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①按照年初计划开展扶贫工作，完成扶贫任务得0.25分，否则不得分。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②按照规定组织部门党支部开展党建活动，当年度“三会一课”不少于12次得0.25分，每少1次扣0.1分，扣完为止。</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③扶贫工作考核合格得0.25分，否则不得分。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④党建工作考核合格得0.25分，否则不得分。</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990"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773" w:type="dxa"/>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核心业务能力</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（2分）</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待遇落实能力</w:t>
            </w:r>
          </w:p>
        </w:tc>
        <w:tc>
          <w:tcPr>
            <w:tcW w:w="42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评价临猗县老干部局在对老干部待遇落实方面的实现程度，用以反映临猗县老干部局的待遇落实能力实现程度。</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计划标准</w:t>
            </w:r>
          </w:p>
        </w:tc>
        <w:tc>
          <w:tcPr>
            <w:tcW w:w="6466"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2020年临猗县老干部局能够按照本年计划将离退休干部的待遇全部落实，待遇落实能力合格，得1分，否则不得分。</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990"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773"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服务管理水平</w:t>
            </w:r>
          </w:p>
        </w:tc>
        <w:tc>
          <w:tcPr>
            <w:tcW w:w="42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评价临猗县老干部局在服务管理老干部方面的服务管理水平，用以反映临猗县老干部局的服务管理水平程度。</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计划标准</w:t>
            </w:r>
          </w:p>
        </w:tc>
        <w:tc>
          <w:tcPr>
            <w:tcW w:w="6466"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2020年临猗县老干部局能够按照服务管理要求，对离退休干部进行服务和管理，服务管理水平能够满足需要，得1分，否则不得分。</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990"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773" w:type="dxa"/>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基础管理（4分）</w:t>
            </w: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依法行政</w:t>
            </w:r>
          </w:p>
        </w:tc>
        <w:tc>
          <w:tcPr>
            <w:tcW w:w="42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评价部门在依法办事方面的情况，用以反映临猗县老干部局科学决策方面的控制程度。</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计划标准</w:t>
            </w:r>
          </w:p>
        </w:tc>
        <w:tc>
          <w:tcPr>
            <w:tcW w:w="6466"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评价临猗县老干部局在待遇落实和服务管理方面，履行职责所依据的法律法规是否充分，依据充分的，得1分，否则不得分。</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990"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773"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基础能力建设</w:t>
            </w:r>
          </w:p>
        </w:tc>
        <w:tc>
          <w:tcPr>
            <w:tcW w:w="42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①部门的业务管理制度是否健全，包括：行政审批、政务服务、内控、公开公示等方面。用以反映和考核临猗县老干部局在履行主要职责方面的业务管理制度的健全程度。</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②部门在履行主要职责过程中，能否严格按照业务管理制度规定。用以反映和考核临猗县老干部局在履行主要职责过程中业务管理制度的运行有效程度。</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通用标准</w:t>
            </w:r>
          </w:p>
        </w:tc>
        <w:tc>
          <w:tcPr>
            <w:tcW w:w="6466"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①制定或具有相应的业务管理制度包括：政府采购业务管理制度、督查工作制度、议事决策制度、精神文明创建工作制度、三重一大集体决策制度、内部控制制度、固定资产内部管理制度，且以上业务管理制度均符合相对应的国家法律法规，得1分，否则每缺失1项相关方面的制度扣0.2分，扣完为止。</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②临猗县老干部局在履行主要职责过程中，严格按照业务管理制度执行的，得1分，每发现1处未按照制度执行的，扣0.5分，扣完为止。</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990"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773"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667"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在职人员控制率</w:t>
            </w:r>
          </w:p>
        </w:tc>
        <w:tc>
          <w:tcPr>
            <w:tcW w:w="42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部门本年度实际在职人员数与编制数的比率，用以反映和考核临猗县老干部局对人员成本的控制程度。在职人数：局机关实际在职人数，以财政部确定的部门决算编制口径为准。编制数：临猗县编办核定批复的人员编制数。</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通用标准</w:t>
            </w:r>
          </w:p>
        </w:tc>
        <w:tc>
          <w:tcPr>
            <w:tcW w:w="6466"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在职人员控制率=（在职人员数/编制数）×100%。①在职人员控制率小于或等于100%的，得1分；②在职人员控制率大于或等于120%的，得0分③在职人员控制率在100%-120%之间的，在0分和1分之间计算确定：得分=（120%－在职人员控制率）/（120%-100%）×该指标分值1分。</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w:t>
            </w:r>
          </w:p>
        </w:tc>
      </w:tr>
      <w:tr>
        <w:tblPrEx>
          <w:tblCellMar>
            <w:top w:w="0" w:type="dxa"/>
            <w:left w:w="0" w:type="dxa"/>
            <w:bottom w:w="0" w:type="dxa"/>
            <w:right w:w="0" w:type="dxa"/>
          </w:tblCellMar>
        </w:tblPrEx>
        <w:trPr>
          <w:trHeight w:val="566" w:hRule="atLeast"/>
          <w:jc w:val="center"/>
        </w:trPr>
        <w:tc>
          <w:tcPr>
            <w:tcW w:w="790" w:type="pct"/>
            <w:gridSpan w:val="3"/>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履职效能小计</w:t>
            </w:r>
          </w:p>
        </w:tc>
        <w:tc>
          <w:tcPr>
            <w:tcW w:w="15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w:t>
            </w:r>
          </w:p>
        </w:tc>
        <w:tc>
          <w:tcPr>
            <w:tcW w:w="122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p>
        </w:tc>
        <w:tc>
          <w:tcPr>
            <w:tcW w:w="23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18.9</w:t>
            </w:r>
          </w:p>
        </w:tc>
      </w:tr>
    </w:tbl>
    <w:p>
      <w:pPr>
        <w:pStyle w:val="2"/>
        <w:rPr>
          <w:rFonts w:hint="default"/>
          <w:lang w:val="en-US" w:eastAsia="zh-CN"/>
        </w:rPr>
      </w:pPr>
    </w:p>
    <w:tbl>
      <w:tblPr>
        <w:tblStyle w:val="7"/>
        <w:tblW w:w="4997" w:type="pct"/>
        <w:jc w:val="center"/>
        <w:shd w:val="clear" w:color="auto" w:fill="auto"/>
        <w:tblLayout w:type="autofit"/>
        <w:tblCellMar>
          <w:top w:w="0" w:type="dxa"/>
          <w:left w:w="0" w:type="dxa"/>
          <w:bottom w:w="0" w:type="dxa"/>
          <w:right w:w="0" w:type="dxa"/>
        </w:tblCellMar>
      </w:tblPr>
      <w:tblGrid>
        <w:gridCol w:w="768"/>
        <w:gridCol w:w="779"/>
        <w:gridCol w:w="661"/>
        <w:gridCol w:w="435"/>
        <w:gridCol w:w="3409"/>
        <w:gridCol w:w="894"/>
        <w:gridCol w:w="6460"/>
        <w:gridCol w:w="562"/>
      </w:tblGrid>
      <w:tr>
        <w:tblPrEx>
          <w:shd w:val="clear" w:color="auto" w:fill="auto"/>
          <w:tblCellMar>
            <w:top w:w="0" w:type="dxa"/>
            <w:left w:w="0" w:type="dxa"/>
            <w:bottom w:w="0" w:type="dxa"/>
            <w:right w:w="0" w:type="dxa"/>
          </w:tblCellMar>
        </w:tblPrEx>
        <w:trPr>
          <w:trHeight w:val="300" w:hRule="atLeast"/>
          <w:tblHeader/>
          <w:jc w:val="center"/>
        </w:trPr>
        <w:tc>
          <w:tcPr>
            <w:tcW w:w="274" w:type="pct"/>
            <w:tcBorders>
              <w:top w:val="nil"/>
              <w:left w:val="nil"/>
              <w:bottom w:val="nil"/>
              <w:right w:val="nil"/>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附件1：</w:t>
            </w:r>
          </w:p>
        </w:tc>
        <w:tc>
          <w:tcPr>
            <w:tcW w:w="279" w:type="pct"/>
            <w:tcBorders>
              <w:top w:val="nil"/>
              <w:left w:val="nil"/>
              <w:bottom w:val="nil"/>
              <w:right w:val="nil"/>
            </w:tcBorders>
            <w:shd w:val="clear" w:color="auto" w:fill="auto"/>
            <w:noWrap/>
            <w:tcMar>
              <w:top w:w="9" w:type="dxa"/>
              <w:left w:w="9" w:type="dxa"/>
              <w:right w:w="9" w:type="dxa"/>
            </w:tcMar>
            <w:vAlign w:val="center"/>
          </w:tcPr>
          <w:p>
            <w:pPr>
              <w:rPr>
                <w:rFonts w:hint="eastAsia" w:ascii="仿宋" w:hAnsi="仿宋" w:eastAsia="仿宋" w:cs="仿宋"/>
                <w:i w:val="0"/>
                <w:color w:val="000000"/>
                <w:sz w:val="24"/>
                <w:szCs w:val="24"/>
                <w:u w:val="none"/>
              </w:rPr>
            </w:pPr>
          </w:p>
        </w:tc>
        <w:tc>
          <w:tcPr>
            <w:tcW w:w="235" w:type="pct"/>
            <w:tcBorders>
              <w:top w:val="nil"/>
              <w:left w:val="nil"/>
              <w:bottom w:val="nil"/>
              <w:right w:val="nil"/>
            </w:tcBorders>
            <w:shd w:val="clear" w:color="auto" w:fill="auto"/>
            <w:noWrap/>
            <w:tcMar>
              <w:top w:w="9" w:type="dxa"/>
              <w:left w:w="9" w:type="dxa"/>
              <w:right w:w="9" w:type="dxa"/>
            </w:tcMar>
            <w:vAlign w:val="center"/>
          </w:tcPr>
          <w:p>
            <w:pPr>
              <w:jc w:val="left"/>
              <w:rPr>
                <w:rFonts w:hint="eastAsia" w:ascii="仿宋" w:hAnsi="仿宋" w:eastAsia="仿宋" w:cs="仿宋"/>
                <w:i w:val="0"/>
                <w:color w:val="000000"/>
                <w:sz w:val="24"/>
                <w:szCs w:val="24"/>
                <w:u w:val="none"/>
              </w:rPr>
            </w:pPr>
          </w:p>
        </w:tc>
        <w:tc>
          <w:tcPr>
            <w:tcW w:w="156" w:type="pct"/>
            <w:tcBorders>
              <w:top w:val="nil"/>
              <w:left w:val="nil"/>
              <w:bottom w:val="nil"/>
              <w:right w:val="nil"/>
            </w:tcBorders>
            <w:shd w:val="clear" w:color="auto" w:fill="auto"/>
            <w:noWrap/>
            <w:tcMar>
              <w:top w:w="9" w:type="dxa"/>
              <w:left w:w="9" w:type="dxa"/>
              <w:right w:w="9" w:type="dxa"/>
            </w:tcMar>
            <w:vAlign w:val="center"/>
          </w:tcPr>
          <w:p>
            <w:pPr>
              <w:jc w:val="center"/>
              <w:rPr>
                <w:rFonts w:hint="eastAsia" w:ascii="仿宋" w:hAnsi="仿宋" w:eastAsia="仿宋" w:cs="仿宋"/>
                <w:i w:val="0"/>
                <w:color w:val="000000"/>
                <w:sz w:val="24"/>
                <w:szCs w:val="24"/>
                <w:u w:val="none"/>
              </w:rPr>
            </w:pPr>
          </w:p>
        </w:tc>
        <w:tc>
          <w:tcPr>
            <w:tcW w:w="1220" w:type="pct"/>
            <w:tcBorders>
              <w:top w:val="nil"/>
              <w:left w:val="nil"/>
              <w:bottom w:val="nil"/>
              <w:right w:val="nil"/>
            </w:tcBorders>
            <w:shd w:val="clear" w:color="auto" w:fill="auto"/>
            <w:noWrap/>
            <w:tcMar>
              <w:top w:w="9" w:type="dxa"/>
              <w:left w:w="9" w:type="dxa"/>
              <w:right w:w="9" w:type="dxa"/>
            </w:tcMar>
            <w:vAlign w:val="center"/>
          </w:tcPr>
          <w:p>
            <w:pPr>
              <w:rPr>
                <w:rFonts w:hint="eastAsia" w:ascii="仿宋" w:hAnsi="仿宋" w:eastAsia="仿宋" w:cs="仿宋"/>
                <w:i w:val="0"/>
                <w:color w:val="000000"/>
                <w:sz w:val="24"/>
                <w:szCs w:val="24"/>
                <w:u w:val="none"/>
              </w:rPr>
            </w:pPr>
          </w:p>
        </w:tc>
        <w:tc>
          <w:tcPr>
            <w:tcW w:w="320" w:type="pct"/>
            <w:tcBorders>
              <w:top w:val="nil"/>
              <w:left w:val="nil"/>
              <w:bottom w:val="nil"/>
              <w:right w:val="nil"/>
            </w:tcBorders>
            <w:shd w:val="clear" w:color="auto" w:fill="auto"/>
            <w:noWrap/>
            <w:tcMar>
              <w:top w:w="9" w:type="dxa"/>
              <w:left w:w="9" w:type="dxa"/>
              <w:right w:w="9" w:type="dxa"/>
            </w:tcMar>
            <w:vAlign w:val="center"/>
          </w:tcPr>
          <w:p>
            <w:pPr>
              <w:rPr>
                <w:rFonts w:hint="eastAsia" w:ascii="仿宋" w:hAnsi="仿宋" w:eastAsia="仿宋" w:cs="仿宋"/>
                <w:i w:val="0"/>
                <w:color w:val="000000"/>
                <w:sz w:val="24"/>
                <w:szCs w:val="24"/>
                <w:u w:val="none"/>
              </w:rPr>
            </w:pPr>
          </w:p>
        </w:tc>
        <w:tc>
          <w:tcPr>
            <w:tcW w:w="2312" w:type="pct"/>
            <w:tcBorders>
              <w:top w:val="nil"/>
              <w:left w:val="nil"/>
              <w:bottom w:val="nil"/>
              <w:right w:val="nil"/>
            </w:tcBorders>
            <w:shd w:val="clear" w:color="auto" w:fill="auto"/>
            <w:noWrap/>
            <w:tcMar>
              <w:top w:w="9" w:type="dxa"/>
              <w:left w:w="9" w:type="dxa"/>
              <w:right w:w="9" w:type="dxa"/>
            </w:tcMar>
            <w:vAlign w:val="center"/>
          </w:tcPr>
          <w:p>
            <w:pPr>
              <w:rPr>
                <w:rFonts w:hint="eastAsia" w:ascii="仿宋" w:hAnsi="仿宋" w:eastAsia="仿宋" w:cs="仿宋"/>
                <w:i w:val="0"/>
                <w:color w:val="000000"/>
                <w:sz w:val="24"/>
                <w:szCs w:val="24"/>
                <w:u w:val="none"/>
              </w:rPr>
            </w:pPr>
          </w:p>
        </w:tc>
        <w:tc>
          <w:tcPr>
            <w:tcW w:w="201" w:type="pct"/>
            <w:tcBorders>
              <w:top w:val="nil"/>
              <w:left w:val="nil"/>
              <w:bottom w:val="nil"/>
              <w:right w:val="nil"/>
            </w:tcBorders>
            <w:shd w:val="clear" w:color="auto" w:fill="auto"/>
            <w:noWrap/>
            <w:tcMar>
              <w:top w:w="9" w:type="dxa"/>
              <w:left w:w="9" w:type="dxa"/>
              <w:right w:w="9" w:type="dxa"/>
            </w:tcMar>
            <w:vAlign w:val="center"/>
          </w:tcPr>
          <w:p>
            <w:pPr>
              <w:rPr>
                <w:rFonts w:hint="eastAsia" w:ascii="仿宋" w:hAnsi="仿宋" w:eastAsia="仿宋" w:cs="仿宋"/>
                <w:i w:val="0"/>
                <w:color w:val="000000"/>
                <w:sz w:val="24"/>
                <w:szCs w:val="24"/>
                <w:u w:val="none"/>
              </w:rPr>
            </w:pPr>
          </w:p>
        </w:tc>
      </w:tr>
      <w:tr>
        <w:tblPrEx>
          <w:tblCellMar>
            <w:top w:w="0" w:type="dxa"/>
            <w:left w:w="0" w:type="dxa"/>
            <w:bottom w:w="0" w:type="dxa"/>
            <w:right w:w="0" w:type="dxa"/>
          </w:tblCellMar>
        </w:tblPrEx>
        <w:trPr>
          <w:trHeight w:val="90" w:hRule="atLeast"/>
          <w:tblHeader/>
          <w:jc w:val="center"/>
        </w:trPr>
        <w:tc>
          <w:tcPr>
            <w:tcW w:w="4798" w:type="pct"/>
            <w:gridSpan w:val="7"/>
            <w:tcBorders>
              <w:top w:val="nil"/>
              <w:left w:val="nil"/>
              <w:bottom w:val="nil"/>
              <w:right w:val="nil"/>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32"/>
                <w:szCs w:val="32"/>
                <w:u w:val="none"/>
              </w:rPr>
            </w:pPr>
            <w:r>
              <w:rPr>
                <w:rFonts w:hint="eastAsia" w:ascii="仿宋" w:hAnsi="仿宋" w:eastAsia="仿宋" w:cs="仿宋"/>
                <w:b/>
                <w:i w:val="0"/>
                <w:color w:val="000000"/>
                <w:kern w:val="0"/>
                <w:sz w:val="32"/>
                <w:szCs w:val="32"/>
                <w:u w:val="none"/>
                <w:lang w:val="en-US" w:eastAsia="zh-CN" w:bidi="ar"/>
              </w:rPr>
              <w:t>临猗县老干部局部门整体支出绩效评价指标表（管理效率）</w:t>
            </w:r>
          </w:p>
        </w:tc>
        <w:tc>
          <w:tcPr>
            <w:tcW w:w="201" w:type="pct"/>
            <w:tcBorders>
              <w:top w:val="nil"/>
              <w:left w:val="nil"/>
              <w:bottom w:val="nil"/>
              <w:right w:val="nil"/>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32"/>
                <w:szCs w:val="32"/>
                <w:u w:val="none"/>
                <w:lang w:val="en-US" w:eastAsia="zh-CN" w:bidi="ar"/>
              </w:rPr>
            </w:pPr>
          </w:p>
        </w:tc>
      </w:tr>
      <w:tr>
        <w:tblPrEx>
          <w:tblCellMar>
            <w:top w:w="0" w:type="dxa"/>
            <w:left w:w="0" w:type="dxa"/>
            <w:bottom w:w="0" w:type="dxa"/>
            <w:right w:w="0" w:type="dxa"/>
          </w:tblCellMar>
        </w:tblPrEx>
        <w:trPr>
          <w:trHeight w:val="479" w:hRule="atLeast"/>
          <w:tblHeader/>
          <w:jc w:val="center"/>
        </w:trPr>
        <w:tc>
          <w:tcPr>
            <w:tcW w:w="27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一级</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指标</w:t>
            </w:r>
          </w:p>
        </w:tc>
        <w:tc>
          <w:tcPr>
            <w:tcW w:w="279"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二级</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指标</w:t>
            </w:r>
          </w:p>
        </w:tc>
        <w:tc>
          <w:tcPr>
            <w:tcW w:w="23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三级指标</w:t>
            </w:r>
          </w:p>
        </w:tc>
        <w:tc>
          <w:tcPr>
            <w:tcW w:w="156"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权重</w:t>
            </w:r>
          </w:p>
        </w:tc>
        <w:tc>
          <w:tcPr>
            <w:tcW w:w="122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指标解释</w:t>
            </w:r>
          </w:p>
        </w:tc>
        <w:tc>
          <w:tcPr>
            <w:tcW w:w="32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评分依据</w:t>
            </w:r>
          </w:p>
        </w:tc>
        <w:tc>
          <w:tcPr>
            <w:tcW w:w="231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评分标准</w:t>
            </w:r>
          </w:p>
        </w:tc>
        <w:tc>
          <w:tcPr>
            <w:tcW w:w="20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b/>
                <w:i w:val="0"/>
                <w:color w:val="000000"/>
                <w:kern w:val="0"/>
                <w:sz w:val="20"/>
                <w:szCs w:val="20"/>
                <w:u w:val="none"/>
                <w:lang w:val="en-US" w:eastAsia="zh-CN" w:bidi="ar"/>
              </w:rPr>
            </w:pPr>
            <w:r>
              <w:rPr>
                <w:rFonts w:hint="eastAsia" w:ascii="仿宋" w:hAnsi="仿宋" w:eastAsia="仿宋" w:cs="仿宋"/>
                <w:b/>
                <w:i w:val="0"/>
                <w:color w:val="000000"/>
                <w:kern w:val="0"/>
                <w:sz w:val="20"/>
                <w:szCs w:val="20"/>
                <w:u w:val="none"/>
                <w:lang w:val="en-US" w:eastAsia="zh-CN" w:bidi="ar"/>
              </w:rPr>
              <w:t>分值</w:t>
            </w:r>
          </w:p>
        </w:tc>
      </w:tr>
      <w:tr>
        <w:tblPrEx>
          <w:tblCellMar>
            <w:top w:w="0" w:type="dxa"/>
            <w:left w:w="0" w:type="dxa"/>
            <w:bottom w:w="0" w:type="dxa"/>
            <w:right w:w="0" w:type="dxa"/>
          </w:tblCellMar>
        </w:tblPrEx>
        <w:trPr>
          <w:trHeight w:val="848" w:hRule="atLeast"/>
          <w:jc w:val="center"/>
        </w:trPr>
        <w:tc>
          <w:tcPr>
            <w:tcW w:w="768" w:type="dxa"/>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管理效率（50分）</w:t>
            </w:r>
          </w:p>
        </w:tc>
        <w:tc>
          <w:tcPr>
            <w:tcW w:w="779" w:type="dxa"/>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预算管理（28分）</w:t>
            </w:r>
          </w:p>
        </w:tc>
        <w:tc>
          <w:tcPr>
            <w:tcW w:w="661"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预算编制管理</w:t>
            </w:r>
          </w:p>
        </w:tc>
        <w:tc>
          <w:tcPr>
            <w:tcW w:w="435"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8</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部门2020年预算资金分配管理等方面的情况，包括：部门编制的预算是否符合财政部门预算编制要求；预算较上年增减变动是否符合部门履职需要；“三公经费”预算数与上年度预算数的变动比率。用以反映和考核临猗县老干部局预算编制的合理程度、预算资金的变动依据充分程度、对控制重点行政成本的努力程度。</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通用标准</w:t>
            </w:r>
          </w:p>
        </w:tc>
        <w:tc>
          <w:tcPr>
            <w:tcW w:w="6460"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①临猗县老干部局编制的预算符合《预算法》及财政部门预算编制要求，得2分，否则不得分；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②临猗县老干部局编制的预算收支范围及方向均有相应的法规依据的，得2分，否则不得分；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③临猗县老干部局编制的预算较上年增减变动，符合部门履职需要，得2分，否则不得分；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④三公经费变动率小于或等于0的得2分，根据国办《关于对贯彻落实“约法三章”进一步加强督促检查的意见》，三公经费只减不增，三公经费变动率大于0的不得分。</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8</w:t>
            </w:r>
          </w:p>
        </w:tc>
      </w:tr>
      <w:tr>
        <w:tblPrEx>
          <w:tblCellMar>
            <w:top w:w="0" w:type="dxa"/>
            <w:left w:w="0" w:type="dxa"/>
            <w:bottom w:w="0" w:type="dxa"/>
            <w:right w:w="0" w:type="dxa"/>
          </w:tblCellMar>
        </w:tblPrEx>
        <w:trPr>
          <w:trHeight w:val="748"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预算执行管理</w:t>
            </w:r>
          </w:p>
        </w:tc>
        <w:tc>
          <w:tcPr>
            <w:tcW w:w="435"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13</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部门预门预算支出执行等方面的情况，包括：预算完成率、预算调整率、支付进度率、结转结余率、结转结余变动率、公用经费控制率、“三公经费”控制率。用以反映临猗县老干部局对执行2020年度预算资金支出的实际控制程度。</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通用标准</w:t>
            </w:r>
          </w:p>
        </w:tc>
        <w:tc>
          <w:tcPr>
            <w:tcW w:w="6460"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通过对部门预算支出各方面进行评价，确定部门预算支出执行实现情况；总分13分。具体分为：</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①预算完成率大于或等于95%的得2分，预算完成率小于或等于90%的得0分，在90%-95%之间的，在0分和2分之间计算确定。</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②预算调整率等于0的得2分，预算调整率大于或等于5%的得0分，预算调整率在0-5%之间的，在0分和2分之间确定。</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③按每一季度的执行情况分别打分，每季度分值0.5分，总分值2分。以省财政厅的计算口径序时进度的98%为标准支付进度率，依据部门每个季度末的实际支付进度率与标准支付进度率进行比较。实际支付进度率减标准支付进度率差额大于或等于0得0.5分，差额小于-5%得0分，差额在-5%-0之间的，在0分和0.5分之间计算确定；</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④结转结余率等于0，得2分；结转结余率大于或等于10%的，得0分；结转结余率在5%-10%之间的，在0分和2分之间计算确定；</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⑤结转结余变动率小于或等于0的得2分，结转结余变动率大于或等于50%的得0分，结转结余变动率在0-50%之间的，在0分和2分之间计算确定；</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⑥公用经费控制率小于或等于100%的，2分，公用经费控制率大于或等于105%的得0分，公用经费控制率在100%-105%之间的在0分和2分之间计算确定：</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⑦“三公经费”控制率小于或等于100%的得1分，根据国务院《机关事务管理条例》，“三公经费”超预算列支得0分。</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12</w:t>
            </w:r>
          </w:p>
        </w:tc>
      </w:tr>
      <w:tr>
        <w:tblPrEx>
          <w:tblCellMar>
            <w:top w:w="0" w:type="dxa"/>
            <w:left w:w="0" w:type="dxa"/>
            <w:bottom w:w="0" w:type="dxa"/>
            <w:right w:w="0" w:type="dxa"/>
          </w:tblCellMar>
        </w:tblPrEx>
        <w:trPr>
          <w:trHeight w:val="489"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预算监督管理</w:t>
            </w:r>
          </w:p>
        </w:tc>
        <w:tc>
          <w:tcPr>
            <w:tcW w:w="435"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3</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评价部门接受预算监督检查的合格情况，用以反映部门预算监督检查方面的情况。</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通用标准</w:t>
            </w:r>
          </w:p>
        </w:tc>
        <w:tc>
          <w:tcPr>
            <w:tcW w:w="6460"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依据临猗县财政局或其他部门对临猗县老干部局预算监督结果及走访调查，临猗县老干部局监督检查合格，或及时对检查结果进行整改的，得3分，每出现1处问题扣1分。</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3</w:t>
            </w:r>
          </w:p>
        </w:tc>
      </w:tr>
      <w:tr>
        <w:tblPrEx>
          <w:tblCellMar>
            <w:top w:w="0" w:type="dxa"/>
            <w:left w:w="0" w:type="dxa"/>
            <w:bottom w:w="0" w:type="dxa"/>
            <w:right w:w="0" w:type="dxa"/>
          </w:tblCellMar>
        </w:tblPrEx>
        <w:trPr>
          <w:trHeight w:val="714"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预算绩效管理</w:t>
            </w:r>
          </w:p>
        </w:tc>
        <w:tc>
          <w:tcPr>
            <w:tcW w:w="435"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4</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从绩效目标设定、绩效监控、绩效评价、评价结果应用等方面评价部门预算绩效管理情况</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通用标准</w:t>
            </w:r>
          </w:p>
        </w:tc>
        <w:tc>
          <w:tcPr>
            <w:tcW w:w="6460"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①针对2020年度绩效目标申报了绩效目标表，且绩效目标合理、全面、依据充分，得1分，否则没缺1项扣0.5分，得分依据《绩效目标申报表》；</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②预算执行过程中对绩效目标的实现程度进行了监控，得1分，否则不得分，得分依据《财政项目支出绩效运行监控情况表》；</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③编制了客观、全面、详实的绩效自评报告，得1分，否则不得分；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④对自评结果进行了分析，并对发现的问题进行了整改得1分，否则不得分。</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4</w:t>
            </w:r>
          </w:p>
        </w:tc>
      </w:tr>
      <w:tr>
        <w:tblPrEx>
          <w:tblCellMar>
            <w:top w:w="0" w:type="dxa"/>
            <w:left w:w="0" w:type="dxa"/>
            <w:bottom w:w="0" w:type="dxa"/>
            <w:right w:w="0" w:type="dxa"/>
          </w:tblCellMar>
        </w:tblPrEx>
        <w:trPr>
          <w:trHeight w:val="990"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779" w:type="dxa"/>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财务管理（8分）</w:t>
            </w:r>
          </w:p>
        </w:tc>
        <w:tc>
          <w:tcPr>
            <w:tcW w:w="661"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财务管理规范性</w:t>
            </w:r>
          </w:p>
        </w:tc>
        <w:tc>
          <w:tcPr>
            <w:tcW w:w="435"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4</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评价部门为加强预算管理、规范财务行为而制定的财务管理制度是否健全完整，用以反映部门财务管理合规性方面的管理情况。</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通用标准</w:t>
            </w:r>
          </w:p>
        </w:tc>
        <w:tc>
          <w:tcPr>
            <w:tcW w:w="6460"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①制定或具有预算资金管理办法、内部财务管理制度、会计核算制度、非税收入管理等财务管理制度，得2分，否则不得分；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②财务管理制度合法、合规、完整，得2分，否则不得分；</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4</w:t>
            </w:r>
          </w:p>
        </w:tc>
      </w:tr>
      <w:tr>
        <w:tblPrEx>
          <w:tblCellMar>
            <w:top w:w="0" w:type="dxa"/>
            <w:left w:w="0" w:type="dxa"/>
            <w:bottom w:w="0" w:type="dxa"/>
            <w:right w:w="0" w:type="dxa"/>
          </w:tblCellMar>
        </w:tblPrEx>
        <w:trPr>
          <w:trHeight w:val="990"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财务管理有效性</w:t>
            </w:r>
          </w:p>
        </w:tc>
        <w:tc>
          <w:tcPr>
            <w:tcW w:w="435"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4</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评价部门2020年度预算资金的规范运行情况，考核部门使用预算资金是否符合相关的预算财务管理制度的规定，用以反映临猗县老干部局收支管理有效性方面的管理情况。</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通用标准</w:t>
            </w:r>
          </w:p>
        </w:tc>
        <w:tc>
          <w:tcPr>
            <w:tcW w:w="6460"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①资金使用符合国家财经法规和财务管理制度规定以及有关专项资金管理办法的规定，得1分，否则不得分；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②资金的拨付有完整的审批程序和手续，得1分，否则不得分；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③项目的重大开支经过评估论证，得1分，否则不得分；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④资金使用符合部门预算批复的用途，得1分，否则不得分；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如存在截留、挤占、挪用、虚列支出等情况，本指标得0分。</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990"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779" w:type="dxa"/>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资产管理（10分）</w:t>
            </w:r>
          </w:p>
        </w:tc>
        <w:tc>
          <w:tcPr>
            <w:tcW w:w="661"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资产管理规范性</w:t>
            </w:r>
          </w:p>
        </w:tc>
        <w:tc>
          <w:tcPr>
            <w:tcW w:w="435"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7</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部门的资产是否保存完整、使用合规、处置规范、收入及时足额上缴，用以反映和考核临猗县老干部局资产管理合规性。</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通用标准</w:t>
            </w:r>
          </w:p>
        </w:tc>
        <w:tc>
          <w:tcPr>
            <w:tcW w:w="6460"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①制定或具有固定资产管理制度，且固定资产管理制度符合财政部《行政单位国有资产管理暂行办法》、《事业单位国有资产管理暂行办法》及《临猗县行政事业单位国有资产管理实施办法》，得3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②资产保存完整，处置规范，账务管理合规，帐实相符，得2分，否则不得分；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③部门购置资产价格未超过《临猗县行政单位资产配置标准》的得1分，否则不得分；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④部门购置资产数量符合应配置标准得1分，否则不得分。</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5</w:t>
            </w:r>
          </w:p>
        </w:tc>
      </w:tr>
      <w:tr>
        <w:tblPrEx>
          <w:tblCellMar>
            <w:top w:w="0" w:type="dxa"/>
            <w:left w:w="0" w:type="dxa"/>
            <w:bottom w:w="0" w:type="dxa"/>
            <w:right w:w="0" w:type="dxa"/>
          </w:tblCellMar>
        </w:tblPrEx>
        <w:trPr>
          <w:trHeight w:val="990"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固定资产利用率</w:t>
            </w:r>
          </w:p>
        </w:tc>
        <w:tc>
          <w:tcPr>
            <w:tcW w:w="435"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3</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部门实际在用固定资产总额与所有固定资产总额的比率，用以反映和考核临猗县老干部局固定资产使用效率情况。固定资产利用率=（在用固定资产总额/总固定资产总额）×100%。</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通用标准</w:t>
            </w:r>
          </w:p>
        </w:tc>
        <w:tc>
          <w:tcPr>
            <w:tcW w:w="6460"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①固定资产利用率大于或等于90%的，得3分；②固定资产利用率小于或等于80%的，得0分；③固定资产利用率在80%-90%之间的，在0和3分之间计算确定：得分=（固定资产利用率-80%）/（90%-80%）×该指标分值3分。</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2.74</w:t>
            </w:r>
          </w:p>
        </w:tc>
      </w:tr>
      <w:tr>
        <w:tblPrEx>
          <w:tblCellMar>
            <w:top w:w="0" w:type="dxa"/>
            <w:left w:w="0" w:type="dxa"/>
            <w:bottom w:w="0" w:type="dxa"/>
            <w:right w:w="0" w:type="dxa"/>
          </w:tblCellMar>
        </w:tblPrEx>
        <w:trPr>
          <w:trHeight w:val="990"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779" w:type="dxa"/>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其他管理（4分）</w:t>
            </w:r>
          </w:p>
        </w:tc>
        <w:tc>
          <w:tcPr>
            <w:tcW w:w="661"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政府采购管理</w:t>
            </w:r>
          </w:p>
        </w:tc>
        <w:tc>
          <w:tcPr>
            <w:tcW w:w="435"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部门实际政府采购金额与预算安排的政府采购金额的比率，用以反映和考核行政审批局年度政府采购预算执行情况。</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通用标准</w:t>
            </w:r>
          </w:p>
        </w:tc>
        <w:tc>
          <w:tcPr>
            <w:tcW w:w="6460"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1"/>
                <w:szCs w:val="21"/>
                <w:u w:val="none"/>
                <w:lang w:val="en-US" w:eastAsia="zh-CN" w:bidi="ar"/>
              </w:rPr>
              <w:t>政府采购执行率=（2020年实际政府采购金额/2020年政府采购预算金额）×100%；</w:t>
            </w:r>
            <w:r>
              <w:rPr>
                <w:rFonts w:hint="eastAsia" w:ascii="仿宋" w:hAnsi="仿宋" w:eastAsia="仿宋" w:cs="仿宋"/>
                <w:i w:val="0"/>
                <w:color w:val="000000"/>
                <w:kern w:val="0"/>
                <w:sz w:val="21"/>
                <w:szCs w:val="21"/>
                <w:u w:val="none"/>
                <w:lang w:val="en-US" w:eastAsia="zh-CN" w:bidi="ar"/>
              </w:rPr>
              <w:br w:type="textWrapping"/>
            </w:r>
            <w:r>
              <w:rPr>
                <w:rFonts w:hint="eastAsia" w:ascii="仿宋" w:hAnsi="仿宋" w:eastAsia="仿宋" w:cs="仿宋"/>
                <w:i w:val="0"/>
                <w:color w:val="000000"/>
                <w:kern w:val="0"/>
                <w:sz w:val="21"/>
                <w:szCs w:val="21"/>
                <w:u w:val="none"/>
                <w:lang w:val="en-US" w:eastAsia="zh-CN" w:bidi="ar"/>
              </w:rPr>
              <w:t>①政府采购执行率等于100%的，得2分；</w:t>
            </w:r>
            <w:r>
              <w:rPr>
                <w:rFonts w:hint="eastAsia" w:ascii="仿宋" w:hAnsi="仿宋" w:eastAsia="仿宋" w:cs="仿宋"/>
                <w:i w:val="0"/>
                <w:color w:val="000000"/>
                <w:kern w:val="0"/>
                <w:sz w:val="21"/>
                <w:szCs w:val="21"/>
                <w:u w:val="none"/>
                <w:lang w:val="en-US" w:eastAsia="zh-CN" w:bidi="ar"/>
              </w:rPr>
              <w:br w:type="textWrapping"/>
            </w:r>
            <w:r>
              <w:rPr>
                <w:rFonts w:hint="eastAsia" w:ascii="仿宋" w:hAnsi="仿宋" w:eastAsia="仿宋" w:cs="仿宋"/>
                <w:i w:val="0"/>
                <w:color w:val="000000"/>
                <w:kern w:val="0"/>
                <w:sz w:val="21"/>
                <w:szCs w:val="21"/>
                <w:u w:val="none"/>
                <w:lang w:val="en-US" w:eastAsia="zh-CN" w:bidi="ar"/>
              </w:rPr>
              <w:t>②政府采购执行率小于或等于90%的，得0分；</w:t>
            </w:r>
            <w:r>
              <w:rPr>
                <w:rFonts w:hint="eastAsia" w:ascii="仿宋" w:hAnsi="仿宋" w:eastAsia="仿宋" w:cs="仿宋"/>
                <w:i w:val="0"/>
                <w:color w:val="000000"/>
                <w:kern w:val="0"/>
                <w:sz w:val="21"/>
                <w:szCs w:val="21"/>
                <w:u w:val="none"/>
                <w:lang w:val="en-US" w:eastAsia="zh-CN" w:bidi="ar"/>
              </w:rPr>
              <w:br w:type="textWrapping"/>
            </w:r>
            <w:r>
              <w:rPr>
                <w:rFonts w:hint="eastAsia" w:ascii="仿宋" w:hAnsi="仿宋" w:eastAsia="仿宋" w:cs="仿宋"/>
                <w:i w:val="0"/>
                <w:color w:val="000000"/>
                <w:kern w:val="0"/>
                <w:sz w:val="21"/>
                <w:szCs w:val="21"/>
                <w:u w:val="none"/>
                <w:lang w:val="en-US" w:eastAsia="zh-CN" w:bidi="ar"/>
              </w:rPr>
              <w:t>③政府采购执行率在90%-100%之间的，在0分和2分之间计算确定。</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w:t>
            </w:r>
          </w:p>
        </w:tc>
      </w:tr>
      <w:tr>
        <w:tblPrEx>
          <w:tblCellMar>
            <w:top w:w="0" w:type="dxa"/>
            <w:left w:w="0" w:type="dxa"/>
            <w:bottom w:w="0" w:type="dxa"/>
            <w:right w:w="0" w:type="dxa"/>
          </w:tblCellMar>
        </w:tblPrEx>
        <w:trPr>
          <w:trHeight w:val="990"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预算信息公开</w:t>
            </w:r>
          </w:p>
        </w:tc>
        <w:tc>
          <w:tcPr>
            <w:tcW w:w="435"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部门是否按照政府信息公开有关规定公开相关预决算信息，用以反映和考核行政审批2020年预决算管理的公开透明情况。</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通用标准</w:t>
            </w:r>
          </w:p>
        </w:tc>
        <w:tc>
          <w:tcPr>
            <w:tcW w:w="6460"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1"/>
                <w:szCs w:val="21"/>
                <w:u w:val="none"/>
                <w:lang w:val="en-US" w:eastAsia="zh-CN" w:bidi="ar"/>
              </w:rPr>
              <w:t>①按规定内容公开预算信息得0.5分，否则不得分；</w:t>
            </w:r>
            <w:r>
              <w:rPr>
                <w:rFonts w:hint="eastAsia" w:ascii="仿宋" w:hAnsi="仿宋" w:eastAsia="仿宋" w:cs="仿宋"/>
                <w:i w:val="0"/>
                <w:color w:val="000000"/>
                <w:kern w:val="0"/>
                <w:sz w:val="21"/>
                <w:szCs w:val="21"/>
                <w:u w:val="none"/>
                <w:lang w:val="en-US" w:eastAsia="zh-CN" w:bidi="ar"/>
              </w:rPr>
              <w:br w:type="textWrapping"/>
            </w:r>
            <w:r>
              <w:rPr>
                <w:rFonts w:hint="eastAsia" w:ascii="仿宋" w:hAnsi="仿宋" w:eastAsia="仿宋" w:cs="仿宋"/>
                <w:i w:val="0"/>
                <w:color w:val="000000"/>
                <w:kern w:val="0"/>
                <w:sz w:val="21"/>
                <w:szCs w:val="21"/>
                <w:u w:val="none"/>
                <w:lang w:val="en-US" w:eastAsia="zh-CN" w:bidi="ar"/>
              </w:rPr>
              <w:t>②按规定时限公开决算信息得0.5分，否则不得分。</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0.5</w:t>
            </w:r>
          </w:p>
        </w:tc>
      </w:tr>
      <w:tr>
        <w:tblPrEx>
          <w:tblCellMar>
            <w:top w:w="0" w:type="dxa"/>
            <w:left w:w="0" w:type="dxa"/>
            <w:bottom w:w="0" w:type="dxa"/>
            <w:right w:w="0" w:type="dxa"/>
          </w:tblCellMar>
        </w:tblPrEx>
        <w:trPr>
          <w:trHeight w:val="990" w:hRule="atLeast"/>
          <w:jc w:val="center"/>
        </w:trPr>
        <w:tc>
          <w:tcPr>
            <w:tcW w:w="768"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779" w:type="dxa"/>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基础信息完善性</w:t>
            </w:r>
          </w:p>
        </w:tc>
        <w:tc>
          <w:tcPr>
            <w:tcW w:w="435"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w:t>
            </w:r>
          </w:p>
        </w:tc>
        <w:tc>
          <w:tcPr>
            <w:tcW w:w="3409"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部门基础信息是否完善，用以反映和考核基础信息对预算管理工作的支撑情况。</w:t>
            </w:r>
          </w:p>
        </w:tc>
        <w:tc>
          <w:tcPr>
            <w:tcW w:w="894" w:type="dxa"/>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通用标准</w:t>
            </w:r>
          </w:p>
        </w:tc>
        <w:tc>
          <w:tcPr>
            <w:tcW w:w="6460"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部门基础数据信息和会计信息资料真实、完整、准确，得1分，否则不得分。</w:t>
            </w:r>
          </w:p>
        </w:tc>
        <w:tc>
          <w:tcPr>
            <w:tcW w:w="562" w:type="dxa"/>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0</w:t>
            </w:r>
          </w:p>
        </w:tc>
      </w:tr>
      <w:tr>
        <w:tblPrEx>
          <w:tblCellMar>
            <w:top w:w="0" w:type="dxa"/>
            <w:left w:w="0" w:type="dxa"/>
            <w:bottom w:w="0" w:type="dxa"/>
            <w:right w:w="0" w:type="dxa"/>
          </w:tblCellMar>
        </w:tblPrEx>
        <w:trPr>
          <w:trHeight w:val="566" w:hRule="atLeast"/>
          <w:jc w:val="center"/>
        </w:trPr>
        <w:tc>
          <w:tcPr>
            <w:tcW w:w="790" w:type="pct"/>
            <w:gridSpan w:val="3"/>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管理效率小计</w:t>
            </w:r>
          </w:p>
        </w:tc>
        <w:tc>
          <w:tcPr>
            <w:tcW w:w="156"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50</w:t>
            </w:r>
          </w:p>
        </w:tc>
        <w:tc>
          <w:tcPr>
            <w:tcW w:w="122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p>
        </w:tc>
        <w:tc>
          <w:tcPr>
            <w:tcW w:w="2312"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43.24</w:t>
            </w:r>
          </w:p>
        </w:tc>
      </w:tr>
    </w:tbl>
    <w:p>
      <w:pPr>
        <w:rPr>
          <w:rFonts w:hint="default"/>
          <w:lang w:val="en-US" w:eastAsia="zh-CN"/>
        </w:rPr>
      </w:pPr>
    </w:p>
    <w:p>
      <w:pPr>
        <w:pStyle w:val="2"/>
        <w:rPr>
          <w:rFonts w:hint="default"/>
          <w:lang w:val="en-US" w:eastAsia="zh-CN"/>
        </w:rPr>
      </w:pPr>
    </w:p>
    <w:tbl>
      <w:tblPr>
        <w:tblStyle w:val="7"/>
        <w:tblW w:w="4997" w:type="pct"/>
        <w:jc w:val="center"/>
        <w:shd w:val="clear" w:color="auto" w:fill="auto"/>
        <w:tblLayout w:type="autofit"/>
        <w:tblCellMar>
          <w:top w:w="0" w:type="dxa"/>
          <w:left w:w="0" w:type="dxa"/>
          <w:bottom w:w="0" w:type="dxa"/>
          <w:right w:w="0" w:type="dxa"/>
        </w:tblCellMar>
      </w:tblPr>
      <w:tblGrid>
        <w:gridCol w:w="768"/>
        <w:gridCol w:w="776"/>
        <w:gridCol w:w="664"/>
        <w:gridCol w:w="432"/>
        <w:gridCol w:w="3409"/>
        <w:gridCol w:w="894"/>
        <w:gridCol w:w="6463"/>
        <w:gridCol w:w="562"/>
      </w:tblGrid>
      <w:tr>
        <w:tblPrEx>
          <w:shd w:val="clear" w:color="auto" w:fill="auto"/>
          <w:tblCellMar>
            <w:top w:w="0" w:type="dxa"/>
            <w:left w:w="0" w:type="dxa"/>
            <w:bottom w:w="0" w:type="dxa"/>
            <w:right w:w="0" w:type="dxa"/>
          </w:tblCellMar>
        </w:tblPrEx>
        <w:trPr>
          <w:trHeight w:val="300" w:hRule="atLeast"/>
          <w:tblHeader/>
          <w:jc w:val="center"/>
        </w:trPr>
        <w:tc>
          <w:tcPr>
            <w:tcW w:w="274" w:type="pct"/>
            <w:tcBorders>
              <w:top w:val="nil"/>
              <w:left w:val="nil"/>
              <w:bottom w:val="nil"/>
              <w:right w:val="nil"/>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附件1：</w:t>
            </w:r>
          </w:p>
        </w:tc>
        <w:tc>
          <w:tcPr>
            <w:tcW w:w="278" w:type="pct"/>
            <w:tcBorders>
              <w:top w:val="nil"/>
              <w:left w:val="nil"/>
              <w:bottom w:val="nil"/>
              <w:right w:val="nil"/>
            </w:tcBorders>
            <w:shd w:val="clear" w:color="auto" w:fill="auto"/>
            <w:noWrap/>
            <w:tcMar>
              <w:top w:w="9" w:type="dxa"/>
              <w:left w:w="9" w:type="dxa"/>
              <w:right w:w="9" w:type="dxa"/>
            </w:tcMar>
            <w:vAlign w:val="center"/>
          </w:tcPr>
          <w:p>
            <w:pPr>
              <w:rPr>
                <w:rFonts w:hint="eastAsia" w:ascii="仿宋" w:hAnsi="仿宋" w:eastAsia="仿宋" w:cs="仿宋"/>
                <w:i w:val="0"/>
                <w:color w:val="000000"/>
                <w:sz w:val="24"/>
                <w:szCs w:val="24"/>
                <w:u w:val="none"/>
              </w:rPr>
            </w:pPr>
          </w:p>
        </w:tc>
        <w:tc>
          <w:tcPr>
            <w:tcW w:w="236" w:type="pct"/>
            <w:tcBorders>
              <w:top w:val="nil"/>
              <w:left w:val="nil"/>
              <w:bottom w:val="nil"/>
              <w:right w:val="nil"/>
            </w:tcBorders>
            <w:shd w:val="clear" w:color="auto" w:fill="auto"/>
            <w:noWrap/>
            <w:tcMar>
              <w:top w:w="9" w:type="dxa"/>
              <w:left w:w="9" w:type="dxa"/>
              <w:right w:w="9" w:type="dxa"/>
            </w:tcMar>
            <w:vAlign w:val="center"/>
          </w:tcPr>
          <w:p>
            <w:pPr>
              <w:jc w:val="left"/>
              <w:rPr>
                <w:rFonts w:hint="eastAsia" w:ascii="仿宋" w:hAnsi="仿宋" w:eastAsia="仿宋" w:cs="仿宋"/>
                <w:i w:val="0"/>
                <w:color w:val="000000"/>
                <w:sz w:val="24"/>
                <w:szCs w:val="24"/>
                <w:u w:val="none"/>
              </w:rPr>
            </w:pPr>
          </w:p>
        </w:tc>
        <w:tc>
          <w:tcPr>
            <w:tcW w:w="155" w:type="pct"/>
            <w:tcBorders>
              <w:top w:val="nil"/>
              <w:left w:val="nil"/>
              <w:bottom w:val="nil"/>
              <w:right w:val="nil"/>
            </w:tcBorders>
            <w:shd w:val="clear" w:color="auto" w:fill="auto"/>
            <w:noWrap/>
            <w:tcMar>
              <w:top w:w="9" w:type="dxa"/>
              <w:left w:w="9" w:type="dxa"/>
              <w:right w:w="9" w:type="dxa"/>
            </w:tcMar>
            <w:vAlign w:val="center"/>
          </w:tcPr>
          <w:p>
            <w:pPr>
              <w:jc w:val="center"/>
              <w:rPr>
                <w:rFonts w:hint="eastAsia" w:ascii="仿宋" w:hAnsi="仿宋" w:eastAsia="仿宋" w:cs="仿宋"/>
                <w:i w:val="0"/>
                <w:color w:val="000000"/>
                <w:sz w:val="24"/>
                <w:szCs w:val="24"/>
                <w:u w:val="none"/>
              </w:rPr>
            </w:pPr>
          </w:p>
        </w:tc>
        <w:tc>
          <w:tcPr>
            <w:tcW w:w="1220" w:type="pct"/>
            <w:tcBorders>
              <w:top w:val="nil"/>
              <w:left w:val="nil"/>
              <w:bottom w:val="nil"/>
              <w:right w:val="nil"/>
            </w:tcBorders>
            <w:shd w:val="clear" w:color="auto" w:fill="auto"/>
            <w:noWrap/>
            <w:tcMar>
              <w:top w:w="9" w:type="dxa"/>
              <w:left w:w="9" w:type="dxa"/>
              <w:right w:w="9" w:type="dxa"/>
            </w:tcMar>
            <w:vAlign w:val="center"/>
          </w:tcPr>
          <w:p>
            <w:pPr>
              <w:rPr>
                <w:rFonts w:hint="eastAsia" w:ascii="仿宋" w:hAnsi="仿宋" w:eastAsia="仿宋" w:cs="仿宋"/>
                <w:i w:val="0"/>
                <w:color w:val="000000"/>
                <w:sz w:val="24"/>
                <w:szCs w:val="24"/>
                <w:u w:val="none"/>
              </w:rPr>
            </w:pPr>
          </w:p>
        </w:tc>
        <w:tc>
          <w:tcPr>
            <w:tcW w:w="320" w:type="pct"/>
            <w:tcBorders>
              <w:top w:val="nil"/>
              <w:left w:val="nil"/>
              <w:bottom w:val="nil"/>
              <w:right w:val="nil"/>
            </w:tcBorders>
            <w:shd w:val="clear" w:color="auto" w:fill="auto"/>
            <w:noWrap/>
            <w:tcMar>
              <w:top w:w="9" w:type="dxa"/>
              <w:left w:w="9" w:type="dxa"/>
              <w:right w:w="9" w:type="dxa"/>
            </w:tcMar>
            <w:vAlign w:val="center"/>
          </w:tcPr>
          <w:p>
            <w:pPr>
              <w:rPr>
                <w:rFonts w:hint="eastAsia" w:ascii="仿宋" w:hAnsi="仿宋" w:eastAsia="仿宋" w:cs="仿宋"/>
                <w:i w:val="0"/>
                <w:color w:val="000000"/>
                <w:sz w:val="24"/>
                <w:szCs w:val="24"/>
                <w:u w:val="none"/>
              </w:rPr>
            </w:pPr>
          </w:p>
        </w:tc>
        <w:tc>
          <w:tcPr>
            <w:tcW w:w="2312" w:type="pct"/>
            <w:tcBorders>
              <w:top w:val="nil"/>
              <w:left w:val="nil"/>
              <w:bottom w:val="nil"/>
              <w:right w:val="nil"/>
            </w:tcBorders>
            <w:shd w:val="clear" w:color="auto" w:fill="auto"/>
            <w:noWrap/>
            <w:tcMar>
              <w:top w:w="9" w:type="dxa"/>
              <w:left w:w="9" w:type="dxa"/>
              <w:right w:w="9" w:type="dxa"/>
            </w:tcMar>
            <w:vAlign w:val="center"/>
          </w:tcPr>
          <w:p>
            <w:pPr>
              <w:rPr>
                <w:rFonts w:hint="eastAsia" w:ascii="仿宋" w:hAnsi="仿宋" w:eastAsia="仿宋" w:cs="仿宋"/>
                <w:i w:val="0"/>
                <w:color w:val="000000"/>
                <w:sz w:val="24"/>
                <w:szCs w:val="24"/>
                <w:u w:val="none"/>
              </w:rPr>
            </w:pPr>
          </w:p>
        </w:tc>
        <w:tc>
          <w:tcPr>
            <w:tcW w:w="201" w:type="pct"/>
            <w:tcBorders>
              <w:top w:val="nil"/>
              <w:left w:val="nil"/>
              <w:bottom w:val="nil"/>
              <w:right w:val="nil"/>
            </w:tcBorders>
            <w:shd w:val="clear" w:color="auto" w:fill="auto"/>
            <w:noWrap/>
            <w:tcMar>
              <w:top w:w="9" w:type="dxa"/>
              <w:left w:w="9" w:type="dxa"/>
              <w:right w:w="9" w:type="dxa"/>
            </w:tcMar>
            <w:vAlign w:val="center"/>
          </w:tcPr>
          <w:p>
            <w:pPr>
              <w:rPr>
                <w:rFonts w:hint="eastAsia" w:ascii="仿宋" w:hAnsi="仿宋" w:eastAsia="仿宋" w:cs="仿宋"/>
                <w:i w:val="0"/>
                <w:color w:val="000000"/>
                <w:sz w:val="24"/>
                <w:szCs w:val="24"/>
                <w:u w:val="none"/>
              </w:rPr>
            </w:pPr>
          </w:p>
        </w:tc>
      </w:tr>
      <w:tr>
        <w:tblPrEx>
          <w:tblCellMar>
            <w:top w:w="0" w:type="dxa"/>
            <w:left w:w="0" w:type="dxa"/>
            <w:bottom w:w="0" w:type="dxa"/>
            <w:right w:w="0" w:type="dxa"/>
          </w:tblCellMar>
        </w:tblPrEx>
        <w:trPr>
          <w:trHeight w:val="90" w:hRule="atLeast"/>
          <w:tblHeader/>
          <w:jc w:val="center"/>
        </w:trPr>
        <w:tc>
          <w:tcPr>
            <w:tcW w:w="4798" w:type="pct"/>
            <w:gridSpan w:val="7"/>
            <w:tcBorders>
              <w:top w:val="nil"/>
              <w:left w:val="nil"/>
              <w:bottom w:val="nil"/>
              <w:right w:val="nil"/>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32"/>
                <w:szCs w:val="32"/>
                <w:u w:val="none"/>
              </w:rPr>
            </w:pPr>
            <w:r>
              <w:rPr>
                <w:rFonts w:hint="eastAsia" w:ascii="仿宋" w:hAnsi="仿宋" w:eastAsia="仿宋" w:cs="仿宋"/>
                <w:b/>
                <w:i w:val="0"/>
                <w:color w:val="000000"/>
                <w:kern w:val="0"/>
                <w:sz w:val="32"/>
                <w:szCs w:val="32"/>
                <w:u w:val="none"/>
                <w:lang w:val="en-US" w:eastAsia="zh-CN" w:bidi="ar"/>
              </w:rPr>
              <w:t>临猗县老干部局部门整体支出绩效评价指标表（社会效应）</w:t>
            </w:r>
          </w:p>
        </w:tc>
        <w:tc>
          <w:tcPr>
            <w:tcW w:w="201" w:type="pct"/>
            <w:tcBorders>
              <w:top w:val="nil"/>
              <w:left w:val="nil"/>
              <w:bottom w:val="nil"/>
              <w:right w:val="nil"/>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32"/>
                <w:szCs w:val="32"/>
                <w:u w:val="none"/>
                <w:lang w:val="en-US" w:eastAsia="zh-CN" w:bidi="ar"/>
              </w:rPr>
            </w:pPr>
          </w:p>
        </w:tc>
      </w:tr>
      <w:tr>
        <w:tblPrEx>
          <w:tblCellMar>
            <w:top w:w="0" w:type="dxa"/>
            <w:left w:w="0" w:type="dxa"/>
            <w:bottom w:w="0" w:type="dxa"/>
            <w:right w:w="0" w:type="dxa"/>
          </w:tblCellMar>
        </w:tblPrEx>
        <w:trPr>
          <w:trHeight w:val="479" w:hRule="atLeast"/>
          <w:tblHeader/>
          <w:jc w:val="center"/>
        </w:trPr>
        <w:tc>
          <w:tcPr>
            <w:tcW w:w="27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一级</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指标</w:t>
            </w:r>
          </w:p>
        </w:tc>
        <w:tc>
          <w:tcPr>
            <w:tcW w:w="27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二级</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指标</w:t>
            </w:r>
          </w:p>
        </w:tc>
        <w:tc>
          <w:tcPr>
            <w:tcW w:w="236"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三级指标</w:t>
            </w:r>
          </w:p>
        </w:tc>
        <w:tc>
          <w:tcPr>
            <w:tcW w:w="15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权重</w:t>
            </w:r>
          </w:p>
        </w:tc>
        <w:tc>
          <w:tcPr>
            <w:tcW w:w="122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指标解释</w:t>
            </w:r>
          </w:p>
        </w:tc>
        <w:tc>
          <w:tcPr>
            <w:tcW w:w="32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评分依据</w:t>
            </w:r>
          </w:p>
        </w:tc>
        <w:tc>
          <w:tcPr>
            <w:tcW w:w="231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评分标准</w:t>
            </w:r>
          </w:p>
        </w:tc>
        <w:tc>
          <w:tcPr>
            <w:tcW w:w="20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b/>
                <w:i w:val="0"/>
                <w:color w:val="000000"/>
                <w:kern w:val="0"/>
                <w:sz w:val="20"/>
                <w:szCs w:val="20"/>
                <w:u w:val="none"/>
                <w:lang w:val="en-US" w:eastAsia="zh-CN" w:bidi="ar"/>
              </w:rPr>
            </w:pPr>
            <w:r>
              <w:rPr>
                <w:rFonts w:hint="eastAsia" w:ascii="仿宋" w:hAnsi="仿宋" w:eastAsia="仿宋" w:cs="仿宋"/>
                <w:b/>
                <w:i w:val="0"/>
                <w:color w:val="000000"/>
                <w:kern w:val="0"/>
                <w:sz w:val="20"/>
                <w:szCs w:val="20"/>
                <w:u w:val="none"/>
                <w:lang w:val="en-US" w:eastAsia="zh-CN" w:bidi="ar"/>
              </w:rPr>
              <w:t>分值</w:t>
            </w:r>
          </w:p>
        </w:tc>
      </w:tr>
      <w:tr>
        <w:tblPrEx>
          <w:tblCellMar>
            <w:top w:w="0" w:type="dxa"/>
            <w:left w:w="0" w:type="dxa"/>
            <w:bottom w:w="0" w:type="dxa"/>
            <w:right w:w="0" w:type="dxa"/>
          </w:tblCellMar>
        </w:tblPrEx>
        <w:trPr>
          <w:trHeight w:val="848" w:hRule="atLeast"/>
          <w:jc w:val="center"/>
        </w:trPr>
        <w:tc>
          <w:tcPr>
            <w:tcW w:w="274" w:type="pct"/>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社会效应（20分）</w:t>
            </w:r>
          </w:p>
        </w:tc>
        <w:tc>
          <w:tcPr>
            <w:tcW w:w="278" w:type="pct"/>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社会影响（10分）</w:t>
            </w:r>
          </w:p>
        </w:tc>
        <w:tc>
          <w:tcPr>
            <w:tcW w:w="236"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体现社会主义制度优越性</w:t>
            </w:r>
          </w:p>
        </w:tc>
        <w:tc>
          <w:tcPr>
            <w:tcW w:w="15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3</w:t>
            </w:r>
          </w:p>
        </w:tc>
        <w:tc>
          <w:tcPr>
            <w:tcW w:w="122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评价部门通过对老干部进行政治待遇、生活待遇的落实，对老干部在政治及生活方面的影响。</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计划标准</w:t>
            </w:r>
          </w:p>
        </w:tc>
        <w:tc>
          <w:tcPr>
            <w:tcW w:w="2312"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通过对离退休干部在政治上予以尊重，生活上予以照顾，发扬党和国家关心、爱护老干部的传统，让老干部有归属感、获得感、幸福感，能够体现社会主义制度的优越性，得3分；否则不得分。</w:t>
            </w:r>
          </w:p>
        </w:tc>
        <w:tc>
          <w:tcPr>
            <w:tcW w:w="20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right"/>
              <w:textAlignment w:val="center"/>
              <w:rPr>
                <w:rFonts w:hint="default" w:ascii="仿宋" w:hAnsi="仿宋" w:eastAsia="仿宋" w:cs="仿宋"/>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lang w:val="en-US" w:eastAsia="zh-CN" w:bidi="ar"/>
              </w:rPr>
              <w:t xml:space="preserve">3.00 </w:t>
            </w:r>
          </w:p>
        </w:tc>
      </w:tr>
      <w:tr>
        <w:tblPrEx>
          <w:tblCellMar>
            <w:top w:w="0" w:type="dxa"/>
            <w:left w:w="0" w:type="dxa"/>
            <w:bottom w:w="0" w:type="dxa"/>
            <w:right w:w="0" w:type="dxa"/>
          </w:tblCellMar>
        </w:tblPrEx>
        <w:trPr>
          <w:trHeight w:val="748" w:hRule="atLeast"/>
          <w:jc w:val="center"/>
        </w:trPr>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278"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发挥老干部作用</w:t>
            </w:r>
          </w:p>
        </w:tc>
        <w:tc>
          <w:tcPr>
            <w:tcW w:w="15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122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评价通过部门组织离退休干部学习教育，带动老干部在各方面发挥作用的影响。</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计划标准</w:t>
            </w:r>
          </w:p>
        </w:tc>
        <w:tc>
          <w:tcPr>
            <w:tcW w:w="2312"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①通过本部门的职责履行，组织带动老干部发挥示范引领作用，能够对社会进步作出贡献得2分，否则不得分。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②通过本部门的职责履行，有效整合离退休干部资源，形成机制或规模，使老干部能够发挥人才资源效益得2分，否则不得分。</w:t>
            </w:r>
          </w:p>
        </w:tc>
        <w:tc>
          <w:tcPr>
            <w:tcW w:w="20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right"/>
              <w:textAlignment w:val="center"/>
              <w:rPr>
                <w:rFonts w:hint="default" w:ascii="仿宋" w:hAnsi="仿宋" w:eastAsia="仿宋" w:cs="仿宋"/>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lang w:val="en-US" w:eastAsia="zh-CN" w:bidi="ar"/>
              </w:rPr>
              <w:t xml:space="preserve">4.00 </w:t>
            </w:r>
          </w:p>
        </w:tc>
      </w:tr>
      <w:tr>
        <w:tblPrEx>
          <w:tblCellMar>
            <w:top w:w="0" w:type="dxa"/>
            <w:left w:w="0" w:type="dxa"/>
            <w:bottom w:w="0" w:type="dxa"/>
            <w:right w:w="0" w:type="dxa"/>
          </w:tblCellMar>
        </w:tblPrEx>
        <w:trPr>
          <w:trHeight w:val="489" w:hRule="atLeast"/>
          <w:jc w:val="center"/>
        </w:trPr>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278"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提高离退休干部及老年人的精神生活质量</w:t>
            </w:r>
          </w:p>
        </w:tc>
        <w:tc>
          <w:tcPr>
            <w:tcW w:w="15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3</w:t>
            </w:r>
          </w:p>
        </w:tc>
        <w:tc>
          <w:tcPr>
            <w:tcW w:w="122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评价老干部活动中心、老年大学、老年协会开展的工作，对离退休干部及老年人的精神生活产生的影响。</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计划标准</w:t>
            </w:r>
          </w:p>
        </w:tc>
        <w:tc>
          <w:tcPr>
            <w:tcW w:w="2312"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老干部活动中心、老年大学、老年协会组织开展的文化、体育、健身等娱乐活动，能够解决老年人的精神文化发展需要得3分，否则不得分。</w:t>
            </w:r>
          </w:p>
        </w:tc>
        <w:tc>
          <w:tcPr>
            <w:tcW w:w="20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right"/>
              <w:textAlignment w:val="center"/>
              <w:rPr>
                <w:rFonts w:hint="default" w:ascii="仿宋" w:hAnsi="仿宋" w:eastAsia="仿宋" w:cs="仿宋"/>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lang w:val="en-US" w:eastAsia="zh-CN" w:bidi="ar"/>
              </w:rPr>
              <w:t xml:space="preserve">3.00 </w:t>
            </w:r>
          </w:p>
        </w:tc>
      </w:tr>
      <w:tr>
        <w:tblPrEx>
          <w:tblCellMar>
            <w:top w:w="0" w:type="dxa"/>
            <w:left w:w="0" w:type="dxa"/>
            <w:bottom w:w="0" w:type="dxa"/>
            <w:right w:w="0" w:type="dxa"/>
          </w:tblCellMar>
        </w:tblPrEx>
        <w:trPr>
          <w:trHeight w:val="714" w:hRule="atLeast"/>
          <w:jc w:val="center"/>
        </w:trPr>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278" w:type="pct"/>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满意度（10分）</w:t>
            </w:r>
          </w:p>
        </w:tc>
        <w:tc>
          <w:tcPr>
            <w:tcW w:w="236"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离退休干部满意度</w:t>
            </w:r>
          </w:p>
        </w:tc>
        <w:tc>
          <w:tcPr>
            <w:tcW w:w="15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5</w:t>
            </w:r>
          </w:p>
        </w:tc>
        <w:tc>
          <w:tcPr>
            <w:tcW w:w="122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评价离退休干部对部门2020年度工作的满意程度。</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计划标准</w:t>
            </w:r>
          </w:p>
        </w:tc>
        <w:tc>
          <w:tcPr>
            <w:tcW w:w="2312"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根据被调查对象的满意度分数计算得分，满分5分。</w:t>
            </w:r>
          </w:p>
        </w:tc>
        <w:tc>
          <w:tcPr>
            <w:tcW w:w="20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right"/>
              <w:textAlignment w:val="center"/>
              <w:rPr>
                <w:rFonts w:hint="default" w:ascii="仿宋" w:hAnsi="仿宋" w:eastAsia="仿宋" w:cs="仿宋"/>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lang w:val="en-US" w:eastAsia="zh-CN" w:bidi="ar"/>
              </w:rPr>
              <w:t xml:space="preserve">3.85 </w:t>
            </w:r>
          </w:p>
        </w:tc>
      </w:tr>
      <w:tr>
        <w:tblPrEx>
          <w:tblCellMar>
            <w:top w:w="0" w:type="dxa"/>
            <w:left w:w="0" w:type="dxa"/>
            <w:bottom w:w="0" w:type="dxa"/>
            <w:right w:w="0" w:type="dxa"/>
          </w:tblCellMar>
        </w:tblPrEx>
        <w:trPr>
          <w:trHeight w:val="434" w:hRule="atLeast"/>
          <w:jc w:val="center"/>
        </w:trPr>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278"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老年人满意度</w:t>
            </w:r>
          </w:p>
        </w:tc>
        <w:tc>
          <w:tcPr>
            <w:tcW w:w="15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5</w:t>
            </w:r>
          </w:p>
        </w:tc>
        <w:tc>
          <w:tcPr>
            <w:tcW w:w="122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评价老年大学学员、老年协会成员等受益群众对部门年度工作的满意程度。</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计划标准</w:t>
            </w:r>
          </w:p>
        </w:tc>
        <w:tc>
          <w:tcPr>
            <w:tcW w:w="2312"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根据被调查对象的满意度分数计算得分，满分5分。</w:t>
            </w:r>
          </w:p>
        </w:tc>
        <w:tc>
          <w:tcPr>
            <w:tcW w:w="20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right"/>
              <w:textAlignment w:val="center"/>
              <w:rPr>
                <w:rFonts w:hint="default" w:ascii="仿宋" w:hAnsi="仿宋" w:eastAsia="仿宋" w:cs="仿宋"/>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lang w:val="en-US" w:eastAsia="zh-CN" w:bidi="ar"/>
              </w:rPr>
              <w:t xml:space="preserve">4.70 </w:t>
            </w:r>
          </w:p>
        </w:tc>
      </w:tr>
      <w:tr>
        <w:tblPrEx>
          <w:tblCellMar>
            <w:top w:w="0" w:type="dxa"/>
            <w:left w:w="0" w:type="dxa"/>
            <w:bottom w:w="0" w:type="dxa"/>
            <w:right w:w="0" w:type="dxa"/>
          </w:tblCellMar>
        </w:tblPrEx>
        <w:trPr>
          <w:trHeight w:val="566" w:hRule="atLeast"/>
          <w:jc w:val="center"/>
        </w:trPr>
        <w:tc>
          <w:tcPr>
            <w:tcW w:w="790" w:type="pct"/>
            <w:gridSpan w:val="3"/>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社会效应小计</w:t>
            </w:r>
          </w:p>
        </w:tc>
        <w:tc>
          <w:tcPr>
            <w:tcW w:w="15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w:t>
            </w:r>
          </w:p>
        </w:tc>
        <w:tc>
          <w:tcPr>
            <w:tcW w:w="122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p>
        </w:tc>
        <w:tc>
          <w:tcPr>
            <w:tcW w:w="2312"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18.55</w:t>
            </w:r>
          </w:p>
        </w:tc>
      </w:tr>
      <w:tr>
        <w:tblPrEx>
          <w:tblCellMar>
            <w:top w:w="0" w:type="dxa"/>
            <w:left w:w="0" w:type="dxa"/>
            <w:bottom w:w="0" w:type="dxa"/>
            <w:right w:w="0" w:type="dxa"/>
          </w:tblCellMar>
        </w:tblPrEx>
        <w:trPr>
          <w:trHeight w:val="300" w:hRule="atLeast"/>
          <w:tblHeader/>
          <w:jc w:val="center"/>
        </w:trPr>
        <w:tc>
          <w:tcPr>
            <w:tcW w:w="274" w:type="pct"/>
            <w:tcBorders>
              <w:top w:val="nil"/>
              <w:left w:val="nil"/>
              <w:bottom w:val="nil"/>
              <w:right w:val="nil"/>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附件1：</w:t>
            </w:r>
          </w:p>
        </w:tc>
        <w:tc>
          <w:tcPr>
            <w:tcW w:w="278" w:type="pct"/>
            <w:tcBorders>
              <w:top w:val="nil"/>
              <w:left w:val="nil"/>
              <w:bottom w:val="nil"/>
              <w:right w:val="nil"/>
            </w:tcBorders>
            <w:shd w:val="clear" w:color="auto" w:fill="auto"/>
            <w:noWrap/>
            <w:tcMar>
              <w:top w:w="9" w:type="dxa"/>
              <w:left w:w="9" w:type="dxa"/>
              <w:right w:w="9" w:type="dxa"/>
            </w:tcMar>
            <w:vAlign w:val="center"/>
          </w:tcPr>
          <w:p>
            <w:pPr>
              <w:rPr>
                <w:rFonts w:hint="eastAsia" w:ascii="仿宋" w:hAnsi="仿宋" w:eastAsia="仿宋" w:cs="仿宋"/>
                <w:i w:val="0"/>
                <w:color w:val="000000"/>
                <w:sz w:val="24"/>
                <w:szCs w:val="24"/>
                <w:u w:val="none"/>
              </w:rPr>
            </w:pPr>
          </w:p>
        </w:tc>
        <w:tc>
          <w:tcPr>
            <w:tcW w:w="236" w:type="pct"/>
            <w:tcBorders>
              <w:top w:val="nil"/>
              <w:left w:val="nil"/>
              <w:bottom w:val="nil"/>
              <w:right w:val="nil"/>
            </w:tcBorders>
            <w:shd w:val="clear" w:color="auto" w:fill="auto"/>
            <w:noWrap/>
            <w:tcMar>
              <w:top w:w="9" w:type="dxa"/>
              <w:left w:w="9" w:type="dxa"/>
              <w:right w:w="9" w:type="dxa"/>
            </w:tcMar>
            <w:vAlign w:val="center"/>
          </w:tcPr>
          <w:p>
            <w:pPr>
              <w:jc w:val="left"/>
              <w:rPr>
                <w:rFonts w:hint="eastAsia" w:ascii="仿宋" w:hAnsi="仿宋" w:eastAsia="仿宋" w:cs="仿宋"/>
                <w:i w:val="0"/>
                <w:color w:val="000000"/>
                <w:sz w:val="24"/>
                <w:szCs w:val="24"/>
                <w:u w:val="none"/>
              </w:rPr>
            </w:pPr>
          </w:p>
        </w:tc>
        <w:tc>
          <w:tcPr>
            <w:tcW w:w="155" w:type="pct"/>
            <w:tcBorders>
              <w:top w:val="nil"/>
              <w:left w:val="nil"/>
              <w:bottom w:val="nil"/>
              <w:right w:val="nil"/>
            </w:tcBorders>
            <w:shd w:val="clear" w:color="auto" w:fill="auto"/>
            <w:noWrap/>
            <w:tcMar>
              <w:top w:w="9" w:type="dxa"/>
              <w:left w:w="9" w:type="dxa"/>
              <w:right w:w="9" w:type="dxa"/>
            </w:tcMar>
            <w:vAlign w:val="center"/>
          </w:tcPr>
          <w:p>
            <w:pPr>
              <w:jc w:val="center"/>
              <w:rPr>
                <w:rFonts w:hint="eastAsia" w:ascii="仿宋" w:hAnsi="仿宋" w:eastAsia="仿宋" w:cs="仿宋"/>
                <w:i w:val="0"/>
                <w:color w:val="000000"/>
                <w:sz w:val="24"/>
                <w:szCs w:val="24"/>
                <w:u w:val="none"/>
              </w:rPr>
            </w:pPr>
          </w:p>
        </w:tc>
        <w:tc>
          <w:tcPr>
            <w:tcW w:w="1220" w:type="pct"/>
            <w:tcBorders>
              <w:top w:val="nil"/>
              <w:left w:val="nil"/>
              <w:bottom w:val="nil"/>
              <w:right w:val="nil"/>
            </w:tcBorders>
            <w:shd w:val="clear" w:color="auto" w:fill="auto"/>
            <w:noWrap/>
            <w:tcMar>
              <w:top w:w="9" w:type="dxa"/>
              <w:left w:w="9" w:type="dxa"/>
              <w:right w:w="9" w:type="dxa"/>
            </w:tcMar>
            <w:vAlign w:val="center"/>
          </w:tcPr>
          <w:p>
            <w:pPr>
              <w:rPr>
                <w:rFonts w:hint="eastAsia" w:ascii="仿宋" w:hAnsi="仿宋" w:eastAsia="仿宋" w:cs="仿宋"/>
                <w:i w:val="0"/>
                <w:color w:val="000000"/>
                <w:sz w:val="24"/>
                <w:szCs w:val="24"/>
                <w:u w:val="none"/>
              </w:rPr>
            </w:pPr>
          </w:p>
        </w:tc>
        <w:tc>
          <w:tcPr>
            <w:tcW w:w="320" w:type="pct"/>
            <w:tcBorders>
              <w:top w:val="nil"/>
              <w:left w:val="nil"/>
              <w:bottom w:val="nil"/>
              <w:right w:val="nil"/>
            </w:tcBorders>
            <w:shd w:val="clear" w:color="auto" w:fill="auto"/>
            <w:noWrap/>
            <w:tcMar>
              <w:top w:w="9" w:type="dxa"/>
              <w:left w:w="9" w:type="dxa"/>
              <w:right w:w="9" w:type="dxa"/>
            </w:tcMar>
            <w:vAlign w:val="center"/>
          </w:tcPr>
          <w:p>
            <w:pPr>
              <w:rPr>
                <w:rFonts w:hint="eastAsia" w:ascii="仿宋" w:hAnsi="仿宋" w:eastAsia="仿宋" w:cs="仿宋"/>
                <w:i w:val="0"/>
                <w:color w:val="000000"/>
                <w:sz w:val="24"/>
                <w:szCs w:val="24"/>
                <w:u w:val="none"/>
              </w:rPr>
            </w:pPr>
          </w:p>
        </w:tc>
        <w:tc>
          <w:tcPr>
            <w:tcW w:w="2312" w:type="pct"/>
            <w:tcBorders>
              <w:top w:val="nil"/>
              <w:left w:val="nil"/>
              <w:bottom w:val="nil"/>
              <w:right w:val="nil"/>
            </w:tcBorders>
            <w:shd w:val="clear" w:color="auto" w:fill="auto"/>
            <w:noWrap/>
            <w:tcMar>
              <w:top w:w="9" w:type="dxa"/>
              <w:left w:w="9" w:type="dxa"/>
              <w:right w:w="9" w:type="dxa"/>
            </w:tcMar>
            <w:vAlign w:val="center"/>
          </w:tcPr>
          <w:p>
            <w:pPr>
              <w:rPr>
                <w:rFonts w:hint="eastAsia" w:ascii="仿宋" w:hAnsi="仿宋" w:eastAsia="仿宋" w:cs="仿宋"/>
                <w:i w:val="0"/>
                <w:color w:val="000000"/>
                <w:sz w:val="24"/>
                <w:szCs w:val="24"/>
                <w:u w:val="none"/>
              </w:rPr>
            </w:pPr>
          </w:p>
        </w:tc>
        <w:tc>
          <w:tcPr>
            <w:tcW w:w="201" w:type="pct"/>
            <w:tcBorders>
              <w:top w:val="nil"/>
              <w:left w:val="nil"/>
              <w:bottom w:val="nil"/>
              <w:right w:val="nil"/>
            </w:tcBorders>
            <w:shd w:val="clear" w:color="auto" w:fill="auto"/>
            <w:noWrap/>
            <w:tcMar>
              <w:top w:w="9" w:type="dxa"/>
              <w:left w:w="9" w:type="dxa"/>
              <w:right w:w="9" w:type="dxa"/>
            </w:tcMar>
            <w:vAlign w:val="center"/>
          </w:tcPr>
          <w:p>
            <w:pPr>
              <w:rPr>
                <w:rFonts w:hint="eastAsia" w:ascii="仿宋" w:hAnsi="仿宋" w:eastAsia="仿宋" w:cs="仿宋"/>
                <w:i w:val="0"/>
                <w:color w:val="000000"/>
                <w:sz w:val="24"/>
                <w:szCs w:val="24"/>
                <w:u w:val="none"/>
              </w:rPr>
            </w:pPr>
          </w:p>
        </w:tc>
      </w:tr>
      <w:tr>
        <w:tblPrEx>
          <w:tblCellMar>
            <w:top w:w="0" w:type="dxa"/>
            <w:left w:w="0" w:type="dxa"/>
            <w:bottom w:w="0" w:type="dxa"/>
            <w:right w:w="0" w:type="dxa"/>
          </w:tblCellMar>
        </w:tblPrEx>
        <w:trPr>
          <w:trHeight w:val="90" w:hRule="atLeast"/>
          <w:tblHeader/>
          <w:jc w:val="center"/>
        </w:trPr>
        <w:tc>
          <w:tcPr>
            <w:tcW w:w="4798" w:type="pct"/>
            <w:gridSpan w:val="7"/>
            <w:tcBorders>
              <w:top w:val="nil"/>
              <w:left w:val="nil"/>
              <w:bottom w:val="nil"/>
              <w:right w:val="nil"/>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32"/>
                <w:szCs w:val="32"/>
                <w:u w:val="none"/>
              </w:rPr>
            </w:pPr>
            <w:r>
              <w:rPr>
                <w:rFonts w:hint="eastAsia" w:ascii="仿宋" w:hAnsi="仿宋" w:eastAsia="仿宋" w:cs="仿宋"/>
                <w:b/>
                <w:i w:val="0"/>
                <w:color w:val="000000"/>
                <w:kern w:val="0"/>
                <w:sz w:val="32"/>
                <w:szCs w:val="32"/>
                <w:u w:val="none"/>
                <w:lang w:val="en-US" w:eastAsia="zh-CN" w:bidi="ar"/>
              </w:rPr>
              <w:t>临猗县老干部局部门整体支出绩效评价指标表（可持续性）</w:t>
            </w:r>
          </w:p>
        </w:tc>
        <w:tc>
          <w:tcPr>
            <w:tcW w:w="201" w:type="pct"/>
            <w:tcBorders>
              <w:top w:val="nil"/>
              <w:left w:val="nil"/>
              <w:bottom w:val="nil"/>
              <w:right w:val="nil"/>
            </w:tcBorders>
            <w:shd w:val="clear" w:color="auto" w:fill="auto"/>
            <w:noWrap/>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kern w:val="0"/>
                <w:sz w:val="32"/>
                <w:szCs w:val="32"/>
                <w:u w:val="none"/>
                <w:lang w:val="en-US" w:eastAsia="zh-CN" w:bidi="ar"/>
              </w:rPr>
            </w:pPr>
          </w:p>
        </w:tc>
      </w:tr>
      <w:tr>
        <w:tblPrEx>
          <w:tblCellMar>
            <w:top w:w="0" w:type="dxa"/>
            <w:left w:w="0" w:type="dxa"/>
            <w:bottom w:w="0" w:type="dxa"/>
            <w:right w:w="0" w:type="dxa"/>
          </w:tblCellMar>
        </w:tblPrEx>
        <w:trPr>
          <w:trHeight w:val="479" w:hRule="atLeast"/>
          <w:tblHeader/>
          <w:jc w:val="center"/>
        </w:trPr>
        <w:tc>
          <w:tcPr>
            <w:tcW w:w="274"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一级</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指标</w:t>
            </w:r>
          </w:p>
        </w:tc>
        <w:tc>
          <w:tcPr>
            <w:tcW w:w="27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二级</w:t>
            </w:r>
            <w:r>
              <w:rPr>
                <w:rFonts w:hint="eastAsia" w:ascii="仿宋" w:hAnsi="仿宋" w:eastAsia="仿宋" w:cs="仿宋"/>
                <w:b/>
                <w:i w:val="0"/>
                <w:color w:val="000000"/>
                <w:kern w:val="0"/>
                <w:sz w:val="20"/>
                <w:szCs w:val="20"/>
                <w:u w:val="none"/>
                <w:lang w:val="en-US" w:eastAsia="zh-CN" w:bidi="ar"/>
              </w:rPr>
              <w:br w:type="textWrapping"/>
            </w:r>
            <w:r>
              <w:rPr>
                <w:rFonts w:hint="eastAsia" w:ascii="仿宋" w:hAnsi="仿宋" w:eastAsia="仿宋" w:cs="仿宋"/>
                <w:b/>
                <w:i w:val="0"/>
                <w:color w:val="000000"/>
                <w:kern w:val="0"/>
                <w:sz w:val="20"/>
                <w:szCs w:val="20"/>
                <w:u w:val="none"/>
                <w:lang w:val="en-US" w:eastAsia="zh-CN" w:bidi="ar"/>
              </w:rPr>
              <w:t>指标</w:t>
            </w:r>
          </w:p>
        </w:tc>
        <w:tc>
          <w:tcPr>
            <w:tcW w:w="236"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三级指标</w:t>
            </w:r>
          </w:p>
        </w:tc>
        <w:tc>
          <w:tcPr>
            <w:tcW w:w="155"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权重</w:t>
            </w:r>
          </w:p>
        </w:tc>
        <w:tc>
          <w:tcPr>
            <w:tcW w:w="122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指标解释</w:t>
            </w:r>
          </w:p>
        </w:tc>
        <w:tc>
          <w:tcPr>
            <w:tcW w:w="32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评分依据</w:t>
            </w:r>
          </w:p>
        </w:tc>
        <w:tc>
          <w:tcPr>
            <w:tcW w:w="231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0"/>
                <w:szCs w:val="20"/>
                <w:u w:val="none"/>
              </w:rPr>
            </w:pPr>
            <w:r>
              <w:rPr>
                <w:rFonts w:hint="eastAsia" w:ascii="仿宋" w:hAnsi="仿宋" w:eastAsia="仿宋" w:cs="仿宋"/>
                <w:b/>
                <w:i w:val="0"/>
                <w:color w:val="000000"/>
                <w:kern w:val="0"/>
                <w:sz w:val="20"/>
                <w:szCs w:val="20"/>
                <w:u w:val="none"/>
                <w:lang w:val="en-US" w:eastAsia="zh-CN" w:bidi="ar"/>
              </w:rPr>
              <w:t>评分标准</w:t>
            </w:r>
          </w:p>
        </w:tc>
        <w:tc>
          <w:tcPr>
            <w:tcW w:w="20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b/>
                <w:i w:val="0"/>
                <w:color w:val="000000"/>
                <w:kern w:val="0"/>
                <w:sz w:val="20"/>
                <w:szCs w:val="20"/>
                <w:u w:val="none"/>
                <w:lang w:val="en-US" w:eastAsia="zh-CN" w:bidi="ar"/>
              </w:rPr>
            </w:pPr>
            <w:r>
              <w:rPr>
                <w:rFonts w:hint="eastAsia" w:ascii="仿宋" w:hAnsi="仿宋" w:eastAsia="仿宋" w:cs="仿宋"/>
                <w:b/>
                <w:i w:val="0"/>
                <w:color w:val="000000"/>
                <w:kern w:val="0"/>
                <w:sz w:val="20"/>
                <w:szCs w:val="20"/>
                <w:u w:val="none"/>
                <w:lang w:val="en-US" w:eastAsia="zh-CN" w:bidi="ar"/>
              </w:rPr>
              <w:t>分值</w:t>
            </w:r>
          </w:p>
        </w:tc>
      </w:tr>
      <w:tr>
        <w:tblPrEx>
          <w:tblCellMar>
            <w:top w:w="0" w:type="dxa"/>
            <w:left w:w="0" w:type="dxa"/>
            <w:bottom w:w="0" w:type="dxa"/>
            <w:right w:w="0" w:type="dxa"/>
          </w:tblCellMar>
        </w:tblPrEx>
        <w:trPr>
          <w:trHeight w:val="848" w:hRule="atLeast"/>
          <w:jc w:val="center"/>
        </w:trPr>
        <w:tc>
          <w:tcPr>
            <w:tcW w:w="274" w:type="pct"/>
            <w:vMerge w:val="restar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可持续性（10分）</w:t>
            </w:r>
          </w:p>
        </w:tc>
        <w:tc>
          <w:tcPr>
            <w:tcW w:w="27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体制机制改革（6分）</w:t>
            </w:r>
          </w:p>
        </w:tc>
        <w:tc>
          <w:tcPr>
            <w:tcW w:w="236"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体制机制改革情况</w:t>
            </w:r>
          </w:p>
        </w:tc>
        <w:tc>
          <w:tcPr>
            <w:tcW w:w="15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6</w:t>
            </w:r>
          </w:p>
        </w:tc>
        <w:tc>
          <w:tcPr>
            <w:tcW w:w="122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评价部门在制度、人员配置方面，能否为日益增长的离退休干部及老年人群体提供长期有效的服务管理。</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计划标准</w:t>
            </w:r>
          </w:p>
        </w:tc>
        <w:tc>
          <w:tcPr>
            <w:tcW w:w="2312"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①部门具备长效机制或稳定的支持政策，具有能为日益增长的离退休干部及老年人群体提供长期有效服务管理的制度保障得3分，否则不得分。</w:t>
            </w:r>
            <w:r>
              <w:rPr>
                <w:rFonts w:hint="eastAsia" w:ascii="仿宋" w:hAnsi="仿宋" w:eastAsia="仿宋" w:cs="仿宋"/>
                <w:i w:val="0"/>
                <w:color w:val="000000"/>
                <w:kern w:val="0"/>
                <w:sz w:val="20"/>
                <w:szCs w:val="20"/>
                <w:u w:val="none"/>
                <w:lang w:val="en-US" w:eastAsia="zh-CN" w:bidi="ar"/>
              </w:rPr>
              <w:br w:type="textWrapping"/>
            </w:r>
            <w:r>
              <w:rPr>
                <w:rFonts w:hint="eastAsia" w:ascii="仿宋" w:hAnsi="仿宋" w:eastAsia="仿宋" w:cs="仿宋"/>
                <w:i w:val="0"/>
                <w:color w:val="000000"/>
                <w:kern w:val="0"/>
                <w:sz w:val="20"/>
                <w:szCs w:val="20"/>
                <w:u w:val="none"/>
                <w:lang w:val="en-US" w:eastAsia="zh-CN" w:bidi="ar"/>
              </w:rPr>
              <w:t>②部门具备合理的人员配置，能为日益增长的离退休干部及老年人群体服务管理提供合理的人员配置保障得3分，否则不得分。</w:t>
            </w:r>
          </w:p>
        </w:tc>
        <w:tc>
          <w:tcPr>
            <w:tcW w:w="20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right"/>
              <w:textAlignment w:val="center"/>
              <w:rPr>
                <w:rFonts w:hint="default" w:ascii="仿宋" w:hAnsi="仿宋" w:eastAsia="仿宋" w:cs="仿宋"/>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lang w:val="en-US" w:eastAsia="zh-CN" w:bidi="ar"/>
              </w:rPr>
              <w:t xml:space="preserve">3.00 </w:t>
            </w:r>
          </w:p>
        </w:tc>
      </w:tr>
      <w:tr>
        <w:tblPrEx>
          <w:tblCellMar>
            <w:top w:w="0" w:type="dxa"/>
            <w:left w:w="0" w:type="dxa"/>
            <w:bottom w:w="0" w:type="dxa"/>
            <w:right w:w="0" w:type="dxa"/>
          </w:tblCellMar>
        </w:tblPrEx>
        <w:trPr>
          <w:trHeight w:val="748" w:hRule="atLeast"/>
          <w:jc w:val="center"/>
        </w:trPr>
        <w:tc>
          <w:tcPr>
            <w:tcW w:w="274" w:type="pct"/>
            <w:vMerge w:val="continue"/>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jc w:val="center"/>
              <w:rPr>
                <w:rFonts w:hint="eastAsia" w:ascii="仿宋" w:hAnsi="仿宋" w:eastAsia="仿宋" w:cs="仿宋"/>
                <w:i w:val="0"/>
                <w:color w:val="000000"/>
                <w:sz w:val="20"/>
                <w:szCs w:val="20"/>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干部队伍建设（4分）</w:t>
            </w:r>
          </w:p>
        </w:tc>
        <w:tc>
          <w:tcPr>
            <w:tcW w:w="236"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干部培训</w:t>
            </w:r>
          </w:p>
        </w:tc>
        <w:tc>
          <w:tcPr>
            <w:tcW w:w="15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0"/>
                <w:szCs w:val="20"/>
                <w:u w:val="none"/>
              </w:rPr>
            </w:pPr>
            <w:r>
              <w:rPr>
                <w:rFonts w:hint="eastAsia" w:ascii="仿宋" w:hAnsi="仿宋" w:eastAsia="仿宋" w:cs="仿宋"/>
                <w:i w:val="0"/>
                <w:color w:val="000000"/>
                <w:kern w:val="0"/>
                <w:sz w:val="20"/>
                <w:szCs w:val="20"/>
                <w:u w:val="none"/>
                <w:lang w:val="en-US" w:eastAsia="zh-CN" w:bidi="ar"/>
              </w:rPr>
              <w:t>4</w:t>
            </w:r>
          </w:p>
        </w:tc>
        <w:tc>
          <w:tcPr>
            <w:tcW w:w="122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评价部门干部和人员培训方面的情况</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计划标准</w:t>
            </w:r>
          </w:p>
        </w:tc>
        <w:tc>
          <w:tcPr>
            <w:tcW w:w="2312"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①部门在职工业务培训方面制定长期规划，能为日益增长的离退休干部及老年人群体高质量服务管理提供业务水平保障得2分，否则不得分；②按照计划开展了培训工作，得2分，否则不得分。</w:t>
            </w:r>
          </w:p>
        </w:tc>
        <w:tc>
          <w:tcPr>
            <w:tcW w:w="20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right"/>
              <w:textAlignment w:val="center"/>
              <w:rPr>
                <w:rFonts w:hint="default" w:ascii="仿宋" w:hAnsi="仿宋" w:eastAsia="仿宋" w:cs="仿宋"/>
                <w:i w:val="0"/>
                <w:color w:val="000000"/>
                <w:kern w:val="0"/>
                <w:sz w:val="20"/>
                <w:szCs w:val="20"/>
                <w:u w:val="none"/>
                <w:lang w:val="en-US" w:eastAsia="zh-CN" w:bidi="ar"/>
              </w:rPr>
            </w:pPr>
            <w:r>
              <w:rPr>
                <w:rFonts w:hint="eastAsia" w:ascii="宋体" w:hAnsi="宋体" w:eastAsia="宋体" w:cs="宋体"/>
                <w:i w:val="0"/>
                <w:color w:val="000000"/>
                <w:kern w:val="0"/>
                <w:sz w:val="22"/>
                <w:szCs w:val="22"/>
                <w:u w:val="none"/>
                <w:lang w:val="en-US" w:eastAsia="zh-CN" w:bidi="ar"/>
              </w:rPr>
              <w:t xml:space="preserve">4.00 </w:t>
            </w:r>
          </w:p>
        </w:tc>
      </w:tr>
      <w:tr>
        <w:tblPrEx>
          <w:tblCellMar>
            <w:top w:w="0" w:type="dxa"/>
            <w:left w:w="0" w:type="dxa"/>
            <w:bottom w:w="0" w:type="dxa"/>
            <w:right w:w="0" w:type="dxa"/>
          </w:tblCellMar>
        </w:tblPrEx>
        <w:trPr>
          <w:trHeight w:val="566" w:hRule="atLeast"/>
          <w:jc w:val="center"/>
        </w:trPr>
        <w:tc>
          <w:tcPr>
            <w:tcW w:w="790" w:type="pct"/>
            <w:gridSpan w:val="3"/>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可持续性小计</w:t>
            </w:r>
          </w:p>
        </w:tc>
        <w:tc>
          <w:tcPr>
            <w:tcW w:w="15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10</w:t>
            </w:r>
          </w:p>
        </w:tc>
        <w:tc>
          <w:tcPr>
            <w:tcW w:w="122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p>
        </w:tc>
        <w:tc>
          <w:tcPr>
            <w:tcW w:w="2312"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7.00</w:t>
            </w:r>
          </w:p>
        </w:tc>
      </w:tr>
      <w:tr>
        <w:tblPrEx>
          <w:tblCellMar>
            <w:top w:w="0" w:type="dxa"/>
            <w:left w:w="0" w:type="dxa"/>
            <w:bottom w:w="0" w:type="dxa"/>
            <w:right w:w="0" w:type="dxa"/>
          </w:tblCellMar>
        </w:tblPrEx>
        <w:trPr>
          <w:trHeight w:val="566" w:hRule="atLeast"/>
          <w:jc w:val="center"/>
        </w:trPr>
        <w:tc>
          <w:tcPr>
            <w:tcW w:w="790" w:type="pct"/>
            <w:gridSpan w:val="3"/>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合计</w:t>
            </w:r>
          </w:p>
        </w:tc>
        <w:tc>
          <w:tcPr>
            <w:tcW w:w="155"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100</w:t>
            </w:r>
          </w:p>
        </w:tc>
        <w:tc>
          <w:tcPr>
            <w:tcW w:w="1220"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p>
        </w:tc>
        <w:tc>
          <w:tcPr>
            <w:tcW w:w="2312"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right w:w="9"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87.69</w:t>
            </w:r>
          </w:p>
        </w:tc>
      </w:tr>
    </w:tbl>
    <w:p>
      <w:pPr>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spacing w:line="560" w:lineRule="exact"/>
        <w:ind w:firstLine="560" w:firstLineChars="200"/>
        <w:jc w:val="left"/>
        <w:rPr>
          <w:rFonts w:hint="default" w:ascii="仿宋" w:hAnsi="仿宋" w:eastAsia="仿宋" w:cs="仿宋"/>
          <w:b w:val="0"/>
          <w:bCs/>
          <w:sz w:val="28"/>
          <w:szCs w:val="28"/>
          <w:highlight w:val="none"/>
          <w:lang w:val="en-US" w:eastAsia="zh-CN" w:bidi="ar"/>
        </w:rPr>
      </w:pPr>
      <w:bookmarkStart w:id="168" w:name="_Toc7856_WPSOffice_Level1"/>
      <w:r>
        <w:rPr>
          <w:rFonts w:hint="eastAsia" w:ascii="仿宋" w:hAnsi="仿宋" w:eastAsia="仿宋" w:cs="仿宋"/>
          <w:b w:val="0"/>
          <w:bCs/>
          <w:sz w:val="28"/>
          <w:szCs w:val="28"/>
          <w:highlight w:val="none"/>
          <w:lang w:val="en-US" w:eastAsia="zh-CN" w:bidi="ar"/>
        </w:rPr>
        <w:t>附件2</w:t>
      </w:r>
      <w:bookmarkEnd w:id="168"/>
    </w:p>
    <w:p>
      <w:pPr>
        <w:spacing w:line="560" w:lineRule="exact"/>
        <w:ind w:firstLine="643" w:firstLineChars="200"/>
        <w:jc w:val="center"/>
        <w:rPr>
          <w:rFonts w:hint="default" w:ascii="仿宋" w:hAnsi="仿宋" w:eastAsia="仿宋" w:cs="仿宋"/>
          <w:b/>
          <w:bCs w:val="0"/>
          <w:sz w:val="32"/>
          <w:szCs w:val="32"/>
          <w:highlight w:val="none"/>
          <w:lang w:val="en-US" w:eastAsia="zh-CN" w:bidi="ar"/>
        </w:rPr>
      </w:pPr>
      <w:r>
        <w:rPr>
          <w:rFonts w:hint="eastAsia" w:ascii="仿宋" w:hAnsi="仿宋" w:eastAsia="仿宋" w:cs="仿宋"/>
          <w:b/>
          <w:bCs w:val="0"/>
          <w:sz w:val="32"/>
          <w:szCs w:val="32"/>
          <w:highlight w:val="none"/>
          <w:lang w:val="en-US" w:eastAsia="zh-CN" w:bidi="ar"/>
        </w:rPr>
        <w:t>临猗县老干部局2020年部门整体支出</w:t>
      </w:r>
    </w:p>
    <w:p>
      <w:pPr>
        <w:spacing w:line="560" w:lineRule="exact"/>
        <w:ind w:firstLine="643" w:firstLineChars="200"/>
        <w:jc w:val="center"/>
        <w:rPr>
          <w:rFonts w:hint="eastAsia" w:ascii="仿宋" w:hAnsi="仿宋" w:eastAsia="仿宋" w:cs="仿宋"/>
          <w:b/>
          <w:bCs w:val="0"/>
          <w:sz w:val="32"/>
          <w:szCs w:val="32"/>
          <w:highlight w:val="none"/>
          <w:lang w:val="en-US" w:eastAsia="zh-CN" w:bidi="ar"/>
        </w:rPr>
      </w:pPr>
      <w:bookmarkStart w:id="169" w:name="_Toc25290_WPSOffice_Level1"/>
      <w:bookmarkStart w:id="170" w:name="_Toc30998_WPSOffice_Level1"/>
      <w:r>
        <w:rPr>
          <w:rFonts w:hint="eastAsia" w:ascii="仿宋" w:hAnsi="仿宋" w:eastAsia="仿宋" w:cs="仿宋"/>
          <w:b/>
          <w:bCs w:val="0"/>
          <w:sz w:val="32"/>
          <w:szCs w:val="32"/>
          <w:highlight w:val="none"/>
          <w:lang w:val="en-US" w:eastAsia="zh-CN" w:bidi="ar"/>
        </w:rPr>
        <w:t>绩效评价调查问卷分析报告</w:t>
      </w:r>
      <w:bookmarkEnd w:id="169"/>
      <w:bookmarkEnd w:id="170"/>
    </w:p>
    <w:p>
      <w:pPr>
        <w:widowControl w:val="0"/>
        <w:spacing w:line="560" w:lineRule="exact"/>
        <w:ind w:firstLine="560" w:firstLineChars="200"/>
        <w:jc w:val="both"/>
        <w:rPr>
          <w:rFonts w:hint="eastAsia" w:ascii="仿宋" w:hAnsi="仿宋" w:eastAsia="仿宋" w:cs="仿宋"/>
          <w:b w:val="0"/>
          <w:bCs w:val="0"/>
          <w:kern w:val="2"/>
          <w:sz w:val="28"/>
          <w:szCs w:val="28"/>
          <w:highlight w:val="none"/>
          <w:lang w:val="en-US" w:eastAsia="zh-CN" w:bidi="ar-SA"/>
        </w:rPr>
      </w:pPr>
      <w:bookmarkStart w:id="171" w:name="_Toc8868_WPSOffice_Level1"/>
      <w:bookmarkStart w:id="172" w:name="_Toc27618_WPSOffice_Level1"/>
      <w:bookmarkStart w:id="173" w:name="_Toc12932_WPSOffice_Level1"/>
      <w:bookmarkStart w:id="174" w:name="_Toc30757_WPSOffice_Level3"/>
      <w:r>
        <w:rPr>
          <w:rFonts w:hint="eastAsia" w:ascii="仿宋" w:hAnsi="仿宋" w:eastAsia="仿宋" w:cs="仿宋"/>
          <w:b w:val="0"/>
          <w:bCs w:val="0"/>
          <w:kern w:val="2"/>
          <w:sz w:val="28"/>
          <w:szCs w:val="28"/>
          <w:highlight w:val="none"/>
          <w:lang w:val="en-US" w:eastAsia="zh-CN" w:bidi="ar-SA"/>
        </w:rPr>
        <w:t>一、调查目的</w:t>
      </w:r>
      <w:bookmarkEnd w:id="171"/>
      <w:bookmarkEnd w:id="172"/>
      <w:bookmarkEnd w:id="173"/>
    </w:p>
    <w:p>
      <w:pPr>
        <w:widowControl w:val="0"/>
        <w:spacing w:line="560" w:lineRule="exact"/>
        <w:ind w:firstLine="560" w:firstLineChars="200"/>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本次通过问卷调查获取临猗县老干部局职工、离退休老干部及受益群众对临猗县老干部局部门整体的满意度。</w:t>
      </w:r>
    </w:p>
    <w:p>
      <w:pPr>
        <w:widowControl w:val="0"/>
        <w:spacing w:line="560" w:lineRule="exact"/>
        <w:ind w:firstLine="560" w:firstLineChars="200"/>
        <w:jc w:val="both"/>
        <w:rPr>
          <w:rFonts w:hint="eastAsia" w:ascii="仿宋" w:hAnsi="仿宋" w:eastAsia="仿宋" w:cs="仿宋"/>
          <w:b w:val="0"/>
          <w:bCs w:val="0"/>
          <w:kern w:val="2"/>
          <w:sz w:val="28"/>
          <w:szCs w:val="28"/>
          <w:highlight w:val="none"/>
          <w:lang w:val="en-US" w:eastAsia="zh-CN" w:bidi="ar-SA"/>
        </w:rPr>
      </w:pPr>
      <w:bookmarkStart w:id="175" w:name="_Toc25013_WPSOffice_Level1"/>
      <w:bookmarkStart w:id="176" w:name="_Toc12187_WPSOffice_Level1"/>
      <w:bookmarkStart w:id="177" w:name="_Toc6628_WPSOffice_Level1"/>
      <w:r>
        <w:rPr>
          <w:rFonts w:hint="eastAsia" w:ascii="仿宋" w:hAnsi="仿宋" w:eastAsia="仿宋" w:cs="仿宋"/>
          <w:b w:val="0"/>
          <w:bCs w:val="0"/>
          <w:kern w:val="2"/>
          <w:sz w:val="28"/>
          <w:szCs w:val="28"/>
          <w:highlight w:val="none"/>
          <w:lang w:val="en-US" w:eastAsia="zh-CN" w:bidi="ar-SA"/>
        </w:rPr>
        <w:t>二、调查对象</w:t>
      </w:r>
      <w:bookmarkEnd w:id="174"/>
      <w:bookmarkEnd w:id="175"/>
      <w:bookmarkEnd w:id="176"/>
      <w:bookmarkEnd w:id="177"/>
    </w:p>
    <w:p>
      <w:pPr>
        <w:widowControl w:val="0"/>
        <w:spacing w:line="560" w:lineRule="exact"/>
        <w:ind w:firstLine="560" w:firstLineChars="200"/>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本部门职工及受益群体。</w:t>
      </w:r>
    </w:p>
    <w:p>
      <w:pPr>
        <w:widowControl w:val="0"/>
        <w:spacing w:line="560" w:lineRule="exact"/>
        <w:ind w:firstLine="560" w:firstLineChars="200"/>
        <w:jc w:val="both"/>
        <w:rPr>
          <w:rFonts w:hint="eastAsia" w:ascii="仿宋" w:hAnsi="仿宋" w:eastAsia="仿宋" w:cs="仿宋"/>
          <w:b w:val="0"/>
          <w:bCs w:val="0"/>
          <w:kern w:val="2"/>
          <w:sz w:val="28"/>
          <w:szCs w:val="28"/>
          <w:highlight w:val="none"/>
          <w:lang w:val="en-US" w:eastAsia="zh-CN" w:bidi="ar-SA"/>
        </w:rPr>
      </w:pPr>
      <w:bookmarkStart w:id="178" w:name="_Toc12894_WPSOffice_Level1"/>
      <w:bookmarkStart w:id="179" w:name="_Toc5921_WPSOffice_Level1"/>
      <w:bookmarkStart w:id="180" w:name="_Toc14259_WPSOffice_Level1"/>
      <w:r>
        <w:rPr>
          <w:rFonts w:hint="eastAsia" w:ascii="仿宋" w:hAnsi="仿宋" w:eastAsia="仿宋" w:cs="仿宋"/>
          <w:b w:val="0"/>
          <w:bCs w:val="0"/>
          <w:kern w:val="2"/>
          <w:sz w:val="28"/>
          <w:szCs w:val="28"/>
          <w:highlight w:val="none"/>
          <w:lang w:val="en-US" w:eastAsia="zh-CN" w:bidi="ar-SA"/>
        </w:rPr>
        <w:t>三、调查方式和样本量</w:t>
      </w:r>
      <w:bookmarkEnd w:id="178"/>
      <w:bookmarkEnd w:id="179"/>
      <w:bookmarkEnd w:id="180"/>
    </w:p>
    <w:p>
      <w:pPr>
        <w:widowControl w:val="0"/>
        <w:spacing w:line="560" w:lineRule="exact"/>
        <w:ind w:firstLine="560" w:firstLineChars="200"/>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本次采用问卷星调查方式进行问卷调查。共调查本部门职工12人，受益群体80人，实际回收89份问卷。</w:t>
      </w:r>
    </w:p>
    <w:p>
      <w:pPr>
        <w:widowControl w:val="0"/>
        <w:spacing w:line="560" w:lineRule="exact"/>
        <w:ind w:firstLine="560" w:firstLineChars="200"/>
        <w:jc w:val="both"/>
        <w:rPr>
          <w:rFonts w:hint="eastAsia" w:ascii="仿宋" w:hAnsi="仿宋" w:eastAsia="仿宋" w:cs="仿宋"/>
          <w:b w:val="0"/>
          <w:bCs w:val="0"/>
          <w:kern w:val="2"/>
          <w:sz w:val="28"/>
          <w:szCs w:val="28"/>
          <w:highlight w:val="none"/>
          <w:lang w:val="en-US" w:eastAsia="zh-CN" w:bidi="ar-SA"/>
        </w:rPr>
      </w:pPr>
      <w:bookmarkStart w:id="181" w:name="_Toc3833_WPSOffice_Level1"/>
      <w:bookmarkStart w:id="182" w:name="_Toc29775_WPSOffice_Level1"/>
      <w:bookmarkStart w:id="183" w:name="_Toc31308_WPSOffice_Level1"/>
      <w:r>
        <w:rPr>
          <w:rFonts w:hint="eastAsia" w:ascii="仿宋" w:hAnsi="仿宋" w:eastAsia="仿宋" w:cs="仿宋"/>
          <w:b w:val="0"/>
          <w:bCs w:val="0"/>
          <w:kern w:val="2"/>
          <w:sz w:val="28"/>
          <w:szCs w:val="28"/>
          <w:highlight w:val="none"/>
          <w:lang w:val="en-US" w:eastAsia="zh-CN" w:bidi="ar-SA"/>
        </w:rPr>
        <w:t>四、调查主要内容</w:t>
      </w:r>
      <w:bookmarkEnd w:id="181"/>
      <w:bookmarkEnd w:id="182"/>
      <w:bookmarkEnd w:id="183"/>
    </w:p>
    <w:p>
      <w:pPr>
        <w:widowControl w:val="0"/>
        <w:spacing w:line="560" w:lineRule="exact"/>
        <w:ind w:firstLine="560" w:firstLineChars="200"/>
        <w:jc w:val="both"/>
        <w:rPr>
          <w:rFonts w:hint="eastAsia" w:ascii="仿宋" w:hAnsi="仿宋" w:eastAsia="仿宋" w:cs="仿宋"/>
          <w:b w:val="0"/>
          <w:bCs w:val="0"/>
          <w:kern w:val="2"/>
          <w:sz w:val="28"/>
          <w:szCs w:val="28"/>
          <w:highlight w:val="none"/>
          <w:lang w:val="en-US" w:eastAsia="zh-CN" w:bidi="ar-SA"/>
        </w:rPr>
      </w:pPr>
      <w:r>
        <w:rPr>
          <w:rFonts w:hint="default" w:ascii="仿宋" w:hAnsi="仿宋" w:eastAsia="仿宋" w:cs="仿宋"/>
          <w:b w:val="0"/>
          <w:bCs w:val="0"/>
          <w:kern w:val="2"/>
          <w:sz w:val="28"/>
          <w:szCs w:val="28"/>
          <w:highlight w:val="none"/>
          <w:lang w:val="en-US" w:eastAsia="zh-CN" w:bidi="ar-SA"/>
        </w:rPr>
        <w:t>本次问卷内容</w:t>
      </w:r>
      <w:r>
        <w:rPr>
          <w:rFonts w:hint="eastAsia" w:ascii="仿宋" w:hAnsi="仿宋" w:eastAsia="仿宋" w:cs="仿宋"/>
          <w:b w:val="0"/>
          <w:bCs w:val="0"/>
          <w:kern w:val="2"/>
          <w:sz w:val="28"/>
          <w:szCs w:val="28"/>
          <w:highlight w:val="none"/>
          <w:lang w:val="en-US" w:eastAsia="zh-CN" w:bidi="ar-SA"/>
        </w:rPr>
        <w:t>对部门职工主要是本部门在后勤服务、工作热情度、年度工作成效、岗位任命满意度四方面的内容。对受益群体主要是临猗县老干部局和老年大学在服务管理离退休干部和老年大学学院在待遇落实工作、困难帮扶工作、学习教育方面的整体满意度。</w:t>
      </w:r>
      <w:bookmarkStart w:id="184" w:name="_Toc11797_WPSOffice_Level1"/>
      <w:bookmarkStart w:id="185" w:name="_Toc12697_WPSOffice_Level1"/>
      <w:bookmarkStart w:id="186" w:name="_Toc14915_WPSOffice_Level1"/>
    </w:p>
    <w:p>
      <w:pPr>
        <w:widowControl w:val="0"/>
        <w:spacing w:line="560" w:lineRule="exact"/>
        <w:ind w:firstLine="560" w:firstLineChars="200"/>
        <w:jc w:val="both"/>
        <w:rPr>
          <w:rFonts w:hint="eastAsia"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五、调查分析结果</w:t>
      </w:r>
      <w:bookmarkEnd w:id="184"/>
      <w:bookmarkEnd w:id="185"/>
      <w:bookmarkEnd w:id="186"/>
    </w:p>
    <w:p>
      <w:pPr>
        <w:widowControl w:val="0"/>
        <w:spacing w:line="560" w:lineRule="exact"/>
        <w:ind w:firstLine="560" w:firstLineChars="200"/>
        <w:jc w:val="both"/>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（1）部门职工调查分析结果</w:t>
      </w:r>
    </w:p>
    <w:p>
      <w:pPr>
        <w:widowControl w:val="0"/>
        <w:spacing w:line="560" w:lineRule="exact"/>
        <w:ind w:firstLine="560" w:firstLineChars="200"/>
        <w:jc w:val="both"/>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本次共调查部门职工9人。部门职工对工作热情度普遍很高，对后勤保障、工作岗位任命等方面较为满意。以下为部门职工调查问卷统计结果。</w:t>
      </w:r>
    </w:p>
    <w:p>
      <w:pPr>
        <w:keepLines w:val="0"/>
        <w:spacing w:after="400"/>
        <w:ind w:firstLine="160"/>
        <w:jc w:val="center"/>
        <w:rPr>
          <w:rFonts w:hint="default" w:eastAsia="宋体"/>
          <w:sz w:val="20"/>
          <w:szCs w:val="22"/>
          <w:highlight w:val="none"/>
          <w:lang w:val="en-US" w:eastAsia="zh-CN"/>
        </w:rPr>
      </w:pPr>
      <w:r>
        <w:rPr>
          <w:rFonts w:hint="eastAsia"/>
          <w:b/>
          <w:sz w:val="28"/>
          <w:szCs w:val="22"/>
          <w:highlight w:val="none"/>
          <w:lang w:val="en-US" w:eastAsia="zh-CN"/>
        </w:rPr>
        <w:t>老干部局</w:t>
      </w:r>
      <w:r>
        <w:rPr>
          <w:b/>
          <w:sz w:val="28"/>
          <w:szCs w:val="22"/>
          <w:highlight w:val="none"/>
        </w:rPr>
        <w:t>职工满意度调查问卷</w:t>
      </w:r>
      <w:r>
        <w:rPr>
          <w:rFonts w:hint="eastAsia"/>
          <w:b/>
          <w:sz w:val="28"/>
          <w:szCs w:val="22"/>
          <w:highlight w:val="none"/>
          <w:lang w:val="en-US" w:eastAsia="zh-CN"/>
        </w:rPr>
        <w:t>统计结果</w:t>
      </w:r>
    </w:p>
    <w:p>
      <w:pPr>
        <w:rPr>
          <w:rFonts w:hint="eastAsia" w:ascii="仿宋" w:hAnsi="仿宋" w:eastAsia="仿宋" w:cs="仿宋"/>
          <w:b w:val="0"/>
          <w:color w:val="0066FF"/>
          <w:sz w:val="24"/>
          <w:szCs w:val="24"/>
        </w:rPr>
      </w:pPr>
      <w:r>
        <w:rPr>
          <w:rFonts w:hint="eastAsia" w:ascii="仿宋" w:hAnsi="仿宋" w:eastAsia="仿宋" w:cs="仿宋"/>
          <w:b w:val="0"/>
          <w:color w:val="000000"/>
          <w:sz w:val="24"/>
          <w:szCs w:val="24"/>
          <w:lang w:val="en-US" w:eastAsia="zh-CN"/>
        </w:rPr>
        <w:t>1.</w:t>
      </w:r>
      <w:r>
        <w:rPr>
          <w:rFonts w:hint="eastAsia" w:ascii="仿宋" w:hAnsi="仿宋" w:eastAsia="仿宋" w:cs="仿宋"/>
          <w:b w:val="0"/>
          <w:color w:val="000000"/>
          <w:sz w:val="24"/>
          <w:szCs w:val="24"/>
        </w:rPr>
        <w:t>您对本单位2020年度工作成效的满意度程度？</w:t>
      </w:r>
    </w:p>
    <w:tbl>
      <w:tblPr>
        <w:tblStyle w:val="7"/>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070"/>
        <w:gridCol w:w="1001"/>
        <w:gridCol w:w="4451"/>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rFonts w:hint="eastAsia" w:ascii="仿宋" w:hAnsi="仿宋" w:eastAsia="仿宋" w:cs="仿宋"/>
                <w:sz w:val="24"/>
                <w:szCs w:val="24"/>
              </w:rPr>
            </w:pPr>
            <w:r>
              <w:rPr>
                <w:rFonts w:hint="eastAsia" w:ascii="仿宋" w:hAnsi="仿宋" w:eastAsia="仿宋" w:cs="仿宋"/>
                <w:sz w:val="24"/>
                <w:szCs w:val="24"/>
              </w:rPr>
              <w:t>选项</w:t>
            </w:r>
          </w:p>
        </w:tc>
        <w:tc>
          <w:tcPr>
            <w:shd w:val="clear" w:color="auto" w:fill="E0E0E0"/>
            <w:vAlign w:val="center"/>
          </w:tcPr>
          <w:p>
            <w:pPr>
              <w:jc w:val="center"/>
              <w:rPr>
                <w:rFonts w:hint="eastAsia" w:ascii="仿宋" w:hAnsi="仿宋" w:eastAsia="仿宋" w:cs="仿宋"/>
                <w:sz w:val="24"/>
                <w:szCs w:val="24"/>
              </w:rPr>
            </w:pPr>
            <w:r>
              <w:rPr>
                <w:rFonts w:hint="eastAsia" w:ascii="仿宋" w:hAnsi="仿宋" w:eastAsia="仿宋" w:cs="仿宋"/>
                <w:sz w:val="24"/>
                <w:szCs w:val="24"/>
              </w:rPr>
              <w:t>小计</w:t>
            </w:r>
          </w:p>
        </w:tc>
        <w:tc>
          <w:tcPr>
            <w:shd w:val="clear" w:color="auto" w:fill="E0E0E0"/>
            <w:vAlign w:val="center"/>
          </w:tcPr>
          <w:p>
            <w:pPr>
              <w:jc w:val="center"/>
              <w:rPr>
                <w:rFonts w:hint="eastAsia" w:ascii="仿宋" w:hAnsi="仿宋" w:eastAsia="仿宋" w:cs="仿宋"/>
                <w:sz w:val="24"/>
                <w:szCs w:val="24"/>
              </w:rPr>
            </w:pPr>
            <w:r>
              <w:rPr>
                <w:rFonts w:hint="eastAsia" w:ascii="仿宋" w:hAnsi="仿宋" w:eastAsia="仿宋" w:cs="仿宋"/>
                <w:sz w:val="24"/>
                <w:szCs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t>A.非常满意</w:t>
            </w:r>
          </w:p>
        </w:tc>
        <w:tc>
          <w:tcPr>
            <w:shd w:val="clear" w:color="auto" w:fill="FFFFFF"/>
            <w:vAlign w:val="center"/>
          </w:tcPr>
          <w:p>
            <w:pPr>
              <w:jc w:val="center"/>
              <w:rPr>
                <w:rFonts w:hint="eastAsia" w:ascii="仿宋" w:hAnsi="仿宋" w:eastAsia="仿宋" w:cs="仿宋"/>
                <w:sz w:val="24"/>
                <w:szCs w:val="24"/>
              </w:rPr>
            </w:pPr>
            <w:r>
              <w:rPr>
                <w:rFonts w:hint="eastAsia" w:ascii="仿宋" w:hAnsi="仿宋" w:eastAsia="仿宋" w:cs="仿宋"/>
                <w:sz w:val="24"/>
                <w:szCs w:val="24"/>
              </w:rPr>
              <w:t>6</w:t>
            </w:r>
          </w:p>
        </w:tc>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895350" cy="114300"/>
                  <wp:effectExtent l="0" t="0" r="0" b="0"/>
                  <wp:docPr id="18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41"/>
                          <pic:cNvPicPr>
                            <a:picLocks noChangeAspect="1"/>
                          </pic:cNvPicPr>
                        </pic:nvPicPr>
                        <pic:blipFill>
                          <a:blip r:embed="rId22"/>
                          <a:stretch>
                            <a:fillRect/>
                          </a:stretch>
                        </pic:blipFill>
                        <pic:spPr>
                          <a:xfrm>
                            <a:off x="0" y="0"/>
                            <a:ext cx="895350" cy="114300"/>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457200" cy="114300"/>
                  <wp:effectExtent l="0" t="0" r="0" b="0"/>
                  <wp:docPr id="18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42"/>
                          <pic:cNvPicPr>
                            <a:picLocks noChangeAspect="1"/>
                          </pic:cNvPicPr>
                        </pic:nvPicPr>
                        <pic:blipFill>
                          <a:blip r:embed="rId23"/>
                          <a:stretch>
                            <a:fillRect/>
                          </a:stretch>
                        </pic:blipFill>
                        <pic:spPr>
                          <a:xfrm>
                            <a:off x="0" y="0"/>
                            <a:ext cx="457200" cy="114300"/>
                          </a:xfrm>
                          <a:prstGeom prst="rect">
                            <a:avLst/>
                          </a:prstGeom>
                          <a:noFill/>
                          <a:ln>
                            <a:noFill/>
                          </a:ln>
                        </pic:spPr>
                      </pic:pic>
                    </a:graphicData>
                  </a:graphic>
                </wp:inline>
              </w:drawing>
            </w:r>
            <w:r>
              <w:rPr>
                <w:rFonts w:hint="eastAsia" w:ascii="仿宋" w:hAnsi="仿宋" w:eastAsia="仿宋" w:cs="仿宋"/>
                <w:sz w:val="24"/>
                <w:szCs w:val="24"/>
              </w:rPr>
              <w:t>66.67%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rFonts w:hint="eastAsia" w:ascii="仿宋" w:hAnsi="仿宋" w:eastAsia="仿宋" w:cs="仿宋"/>
                <w:sz w:val="24"/>
                <w:szCs w:val="24"/>
              </w:rPr>
            </w:pPr>
            <w:r>
              <w:rPr>
                <w:rFonts w:hint="eastAsia" w:ascii="仿宋" w:hAnsi="仿宋" w:eastAsia="仿宋" w:cs="仿宋"/>
                <w:sz w:val="24"/>
                <w:szCs w:val="24"/>
              </w:rPr>
              <w:t>B.满意</w:t>
            </w:r>
          </w:p>
        </w:tc>
        <w:tc>
          <w:tcPr>
            <w:shd w:val="clear" w:color="auto" w:fill="F9F9F9"/>
            <w:vAlign w:val="center"/>
          </w:tcPr>
          <w:p>
            <w:pPr>
              <w:jc w:val="center"/>
              <w:rPr>
                <w:rFonts w:hint="eastAsia" w:ascii="仿宋" w:hAnsi="仿宋" w:eastAsia="仿宋" w:cs="仿宋"/>
                <w:sz w:val="24"/>
                <w:szCs w:val="24"/>
              </w:rPr>
            </w:pPr>
            <w:r>
              <w:rPr>
                <w:rFonts w:hint="eastAsia" w:ascii="仿宋" w:hAnsi="仿宋" w:eastAsia="仿宋" w:cs="仿宋"/>
                <w:sz w:val="24"/>
                <w:szCs w:val="24"/>
              </w:rPr>
              <w:t>3</w:t>
            </w:r>
          </w:p>
        </w:tc>
        <w:tc>
          <w:tcPr>
            <w:shd w:val="clear" w:color="auto" w:fill="F9F9F9"/>
            <w:vAlign w:val="center"/>
          </w:tcPr>
          <w:p>
            <w:pPr>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47675" cy="114300"/>
                  <wp:effectExtent l="0" t="0" r="9525" b="0"/>
                  <wp:docPr id="18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43"/>
                          <pic:cNvPicPr>
                            <a:picLocks noChangeAspect="1"/>
                          </pic:cNvPicPr>
                        </pic:nvPicPr>
                        <pic:blipFill>
                          <a:blip r:embed="rId24"/>
                          <a:stretch>
                            <a:fillRect/>
                          </a:stretch>
                        </pic:blipFill>
                        <pic:spPr>
                          <a:xfrm>
                            <a:off x="0" y="0"/>
                            <a:ext cx="447675" cy="114300"/>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904875" cy="114300"/>
                  <wp:effectExtent l="0" t="0" r="9525" b="0"/>
                  <wp:docPr id="18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44"/>
                          <pic:cNvPicPr>
                            <a:picLocks noChangeAspect="1"/>
                          </pic:cNvPicPr>
                        </pic:nvPicPr>
                        <pic:blipFill>
                          <a:blip r:embed="rId25"/>
                          <a:stretch>
                            <a:fillRect/>
                          </a:stretch>
                        </pic:blipFill>
                        <pic:spPr>
                          <a:xfrm>
                            <a:off x="0" y="0"/>
                            <a:ext cx="904875" cy="114300"/>
                          </a:xfrm>
                          <a:prstGeom prst="rect">
                            <a:avLst/>
                          </a:prstGeom>
                          <a:noFill/>
                          <a:ln>
                            <a:noFill/>
                          </a:ln>
                        </pic:spPr>
                      </pic:pic>
                    </a:graphicData>
                  </a:graphic>
                </wp:inline>
              </w:drawing>
            </w:r>
            <w:r>
              <w:rPr>
                <w:rFonts w:hint="eastAsia" w:ascii="仿宋" w:hAnsi="仿宋" w:eastAsia="仿宋" w:cs="仿宋"/>
                <w:sz w:val="24"/>
                <w:szCs w:val="24"/>
              </w:rPr>
              <w:t>33.33%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t>C.一般</w:t>
            </w:r>
          </w:p>
        </w:tc>
        <w:tc>
          <w:tcPr>
            <w:shd w:val="clear" w:color="auto" w:fill="FFFFFF"/>
            <w:vAlign w:val="center"/>
          </w:tcPr>
          <w:p>
            <w:pPr>
              <w:jc w:val="center"/>
              <w:rPr>
                <w:rFonts w:hint="eastAsia" w:ascii="仿宋" w:hAnsi="仿宋" w:eastAsia="仿宋" w:cs="仿宋"/>
                <w:sz w:val="24"/>
                <w:szCs w:val="24"/>
              </w:rPr>
            </w:pPr>
            <w:r>
              <w:rPr>
                <w:rFonts w:hint="eastAsia" w:ascii="仿宋" w:hAnsi="仿宋" w:eastAsia="仿宋" w:cs="仿宋"/>
                <w:sz w:val="24"/>
                <w:szCs w:val="24"/>
              </w:rPr>
              <w:t>0</w:t>
            </w:r>
          </w:p>
        </w:tc>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352550" cy="114300"/>
                  <wp:effectExtent l="0" t="0" r="0" b="0"/>
                  <wp:docPr id="17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5"/>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sz w:val="24"/>
                <w:szCs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rFonts w:hint="eastAsia" w:ascii="仿宋" w:hAnsi="仿宋" w:eastAsia="仿宋" w:cs="仿宋"/>
                <w:sz w:val="24"/>
                <w:szCs w:val="24"/>
              </w:rPr>
            </w:pPr>
            <w:r>
              <w:rPr>
                <w:rFonts w:hint="eastAsia" w:ascii="仿宋" w:hAnsi="仿宋" w:eastAsia="仿宋" w:cs="仿宋"/>
                <w:sz w:val="24"/>
                <w:szCs w:val="24"/>
              </w:rPr>
              <w:t>D.不满意</w:t>
            </w:r>
          </w:p>
        </w:tc>
        <w:tc>
          <w:tcPr>
            <w:shd w:val="clear" w:color="auto" w:fill="F9F9F9"/>
            <w:vAlign w:val="center"/>
          </w:tcPr>
          <w:p>
            <w:pPr>
              <w:jc w:val="center"/>
              <w:rPr>
                <w:rFonts w:hint="eastAsia" w:ascii="仿宋" w:hAnsi="仿宋" w:eastAsia="仿宋" w:cs="仿宋"/>
                <w:sz w:val="24"/>
                <w:szCs w:val="24"/>
              </w:rPr>
            </w:pPr>
            <w:r>
              <w:rPr>
                <w:rFonts w:hint="eastAsia" w:ascii="仿宋" w:hAnsi="仿宋" w:eastAsia="仿宋" w:cs="仿宋"/>
                <w:sz w:val="24"/>
                <w:szCs w:val="24"/>
              </w:rPr>
              <w:t>0</w:t>
            </w:r>
          </w:p>
        </w:tc>
        <w:tc>
          <w:tcPr>
            <w:shd w:val="clear" w:color="auto" w:fill="F9F9F9"/>
            <w:vAlign w:val="center"/>
          </w:tcPr>
          <w:p>
            <w:pPr>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352550" cy="114300"/>
                  <wp:effectExtent l="0" t="0" r="0" b="0"/>
                  <wp:docPr id="18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46"/>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sz w:val="24"/>
                <w:szCs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t>E.非常不满意</w:t>
            </w:r>
          </w:p>
        </w:tc>
        <w:tc>
          <w:tcPr>
            <w:shd w:val="clear" w:color="auto" w:fill="FFFFFF"/>
            <w:vAlign w:val="center"/>
          </w:tcPr>
          <w:p>
            <w:pPr>
              <w:jc w:val="center"/>
              <w:rPr>
                <w:rFonts w:hint="eastAsia" w:ascii="仿宋" w:hAnsi="仿宋" w:eastAsia="仿宋" w:cs="仿宋"/>
                <w:sz w:val="24"/>
                <w:szCs w:val="24"/>
              </w:rPr>
            </w:pPr>
            <w:r>
              <w:rPr>
                <w:rFonts w:hint="eastAsia" w:ascii="仿宋" w:hAnsi="仿宋" w:eastAsia="仿宋" w:cs="仿宋"/>
                <w:sz w:val="24"/>
                <w:szCs w:val="24"/>
              </w:rPr>
              <w:t>0</w:t>
            </w:r>
          </w:p>
        </w:tc>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352550" cy="114300"/>
                  <wp:effectExtent l="0" t="0" r="0" b="0"/>
                  <wp:docPr id="18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47"/>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sz w:val="24"/>
                <w:szCs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rPr>
                <w:rFonts w:hint="eastAsia" w:ascii="仿宋" w:hAnsi="仿宋" w:eastAsia="仿宋" w:cs="仿宋"/>
                <w:sz w:val="24"/>
                <w:szCs w:val="24"/>
              </w:rPr>
            </w:pPr>
            <w:r>
              <w:rPr>
                <w:rFonts w:hint="eastAsia" w:ascii="仿宋" w:hAnsi="仿宋" w:eastAsia="仿宋" w:cs="仿宋"/>
                <w:sz w:val="24"/>
                <w:szCs w:val="24"/>
              </w:rPr>
              <w:t>本题有效填写人次</w:t>
            </w:r>
          </w:p>
        </w:tc>
        <w:tc>
          <w:tcPr>
            <w:shd w:val="clear" w:color="auto" w:fill="E0E0E0"/>
            <w:vAlign w:val="center"/>
          </w:tcPr>
          <w:p>
            <w:pPr>
              <w:jc w:val="center"/>
              <w:rPr>
                <w:rFonts w:hint="eastAsia" w:ascii="仿宋" w:hAnsi="仿宋" w:eastAsia="仿宋" w:cs="仿宋"/>
                <w:sz w:val="24"/>
                <w:szCs w:val="24"/>
              </w:rPr>
            </w:pPr>
            <w:r>
              <w:rPr>
                <w:rFonts w:hint="eastAsia" w:ascii="仿宋" w:hAnsi="仿宋" w:eastAsia="仿宋" w:cs="仿宋"/>
                <w:sz w:val="24"/>
                <w:szCs w:val="24"/>
              </w:rPr>
              <w:t>9</w:t>
            </w:r>
          </w:p>
        </w:tc>
        <w:tc>
          <w:tcPr>
            <w:shd w:val="clear" w:color="auto" w:fill="E0E0E0"/>
            <w:vAlign w:val="center"/>
          </w:tcPr>
          <w:p>
            <w:pPr>
              <w:jc w:val="left"/>
              <w:rPr>
                <w:rFonts w:hint="eastAsia" w:ascii="仿宋" w:hAnsi="仿宋" w:eastAsia="仿宋" w:cs="仿宋"/>
                <w:sz w:val="24"/>
                <w:szCs w:val="24"/>
              </w:rPr>
            </w:pPr>
          </w:p>
        </w:tc>
      </w:tr>
    </w:tbl>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b w:val="0"/>
          <w:color w:val="0066FF"/>
          <w:sz w:val="24"/>
          <w:szCs w:val="24"/>
        </w:rPr>
      </w:pPr>
      <w:r>
        <w:rPr>
          <w:rFonts w:hint="eastAsia" w:ascii="仿宋" w:hAnsi="仿宋" w:eastAsia="仿宋" w:cs="仿宋"/>
          <w:b w:val="0"/>
          <w:color w:val="000000"/>
          <w:sz w:val="24"/>
          <w:szCs w:val="24"/>
          <w:lang w:val="en-US" w:eastAsia="zh-CN"/>
        </w:rPr>
        <w:t>2</w:t>
      </w:r>
      <w:r>
        <w:rPr>
          <w:rFonts w:hint="eastAsia" w:ascii="仿宋" w:hAnsi="仿宋" w:eastAsia="仿宋" w:cs="仿宋"/>
          <w:b w:val="0"/>
          <w:color w:val="000000"/>
          <w:sz w:val="24"/>
          <w:szCs w:val="24"/>
        </w:rPr>
        <w:t xml:space="preserve">.您对本单位2020年度后勤服务的满意度程度？  </w:t>
      </w:r>
    </w:p>
    <w:tbl>
      <w:tblPr>
        <w:tblStyle w:val="7"/>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070"/>
        <w:gridCol w:w="1001"/>
        <w:gridCol w:w="4451"/>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rFonts w:hint="eastAsia" w:ascii="仿宋" w:hAnsi="仿宋" w:eastAsia="仿宋" w:cs="仿宋"/>
                <w:sz w:val="24"/>
                <w:szCs w:val="24"/>
              </w:rPr>
            </w:pPr>
            <w:r>
              <w:rPr>
                <w:rFonts w:hint="eastAsia" w:ascii="仿宋" w:hAnsi="仿宋" w:eastAsia="仿宋" w:cs="仿宋"/>
                <w:sz w:val="24"/>
                <w:szCs w:val="24"/>
              </w:rPr>
              <w:t>选项</w:t>
            </w:r>
          </w:p>
        </w:tc>
        <w:tc>
          <w:tcPr>
            <w:shd w:val="clear" w:color="auto" w:fill="E0E0E0"/>
            <w:vAlign w:val="center"/>
          </w:tcPr>
          <w:p>
            <w:pPr>
              <w:jc w:val="center"/>
              <w:rPr>
                <w:rFonts w:hint="eastAsia" w:ascii="仿宋" w:hAnsi="仿宋" w:eastAsia="仿宋" w:cs="仿宋"/>
                <w:sz w:val="24"/>
                <w:szCs w:val="24"/>
              </w:rPr>
            </w:pPr>
            <w:r>
              <w:rPr>
                <w:rFonts w:hint="eastAsia" w:ascii="仿宋" w:hAnsi="仿宋" w:eastAsia="仿宋" w:cs="仿宋"/>
                <w:sz w:val="24"/>
                <w:szCs w:val="24"/>
              </w:rPr>
              <w:t>小计</w:t>
            </w:r>
          </w:p>
        </w:tc>
        <w:tc>
          <w:tcPr>
            <w:shd w:val="clear" w:color="auto" w:fill="E0E0E0"/>
            <w:vAlign w:val="center"/>
          </w:tcPr>
          <w:p>
            <w:pPr>
              <w:jc w:val="center"/>
              <w:rPr>
                <w:rFonts w:hint="eastAsia" w:ascii="仿宋" w:hAnsi="仿宋" w:eastAsia="仿宋" w:cs="仿宋"/>
                <w:sz w:val="24"/>
                <w:szCs w:val="24"/>
              </w:rPr>
            </w:pPr>
            <w:r>
              <w:rPr>
                <w:rFonts w:hint="eastAsia" w:ascii="仿宋" w:hAnsi="仿宋" w:eastAsia="仿宋" w:cs="仿宋"/>
                <w:sz w:val="24"/>
                <w:szCs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t>A.非常满意</w:t>
            </w:r>
          </w:p>
        </w:tc>
        <w:tc>
          <w:tcPr>
            <w:shd w:val="clear" w:color="auto" w:fill="FFFFFF"/>
            <w:vAlign w:val="center"/>
          </w:tcPr>
          <w:p>
            <w:pPr>
              <w:jc w:val="center"/>
              <w:rPr>
                <w:rFonts w:hint="eastAsia" w:ascii="仿宋" w:hAnsi="仿宋" w:eastAsia="仿宋" w:cs="仿宋"/>
                <w:sz w:val="24"/>
                <w:szCs w:val="24"/>
              </w:rPr>
            </w:pPr>
            <w:r>
              <w:rPr>
                <w:rFonts w:hint="eastAsia" w:ascii="仿宋" w:hAnsi="仿宋" w:eastAsia="仿宋" w:cs="仿宋"/>
                <w:sz w:val="24"/>
                <w:szCs w:val="24"/>
              </w:rPr>
              <w:t>6</w:t>
            </w:r>
          </w:p>
        </w:tc>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895350" cy="114300"/>
                  <wp:effectExtent l="0" t="0" r="0" b="0"/>
                  <wp:docPr id="18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48"/>
                          <pic:cNvPicPr>
                            <a:picLocks noChangeAspect="1"/>
                          </pic:cNvPicPr>
                        </pic:nvPicPr>
                        <pic:blipFill>
                          <a:blip r:embed="rId22"/>
                          <a:stretch>
                            <a:fillRect/>
                          </a:stretch>
                        </pic:blipFill>
                        <pic:spPr>
                          <a:xfrm>
                            <a:off x="0" y="0"/>
                            <a:ext cx="895350" cy="114300"/>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457200" cy="114300"/>
                  <wp:effectExtent l="0" t="0" r="0" b="0"/>
                  <wp:docPr id="18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9"/>
                          <pic:cNvPicPr>
                            <a:picLocks noChangeAspect="1"/>
                          </pic:cNvPicPr>
                        </pic:nvPicPr>
                        <pic:blipFill>
                          <a:blip r:embed="rId23"/>
                          <a:stretch>
                            <a:fillRect/>
                          </a:stretch>
                        </pic:blipFill>
                        <pic:spPr>
                          <a:xfrm>
                            <a:off x="0" y="0"/>
                            <a:ext cx="457200" cy="114300"/>
                          </a:xfrm>
                          <a:prstGeom prst="rect">
                            <a:avLst/>
                          </a:prstGeom>
                          <a:noFill/>
                          <a:ln>
                            <a:noFill/>
                          </a:ln>
                        </pic:spPr>
                      </pic:pic>
                    </a:graphicData>
                  </a:graphic>
                </wp:inline>
              </w:drawing>
            </w:r>
            <w:r>
              <w:rPr>
                <w:rFonts w:hint="eastAsia" w:ascii="仿宋" w:hAnsi="仿宋" w:eastAsia="仿宋" w:cs="仿宋"/>
                <w:sz w:val="24"/>
                <w:szCs w:val="24"/>
              </w:rPr>
              <w:t>66.67%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rFonts w:hint="eastAsia" w:ascii="仿宋" w:hAnsi="仿宋" w:eastAsia="仿宋" w:cs="仿宋"/>
                <w:sz w:val="24"/>
                <w:szCs w:val="24"/>
              </w:rPr>
            </w:pPr>
            <w:r>
              <w:rPr>
                <w:rFonts w:hint="eastAsia" w:ascii="仿宋" w:hAnsi="仿宋" w:eastAsia="仿宋" w:cs="仿宋"/>
                <w:sz w:val="24"/>
                <w:szCs w:val="24"/>
              </w:rPr>
              <w:t>B.满意</w:t>
            </w:r>
          </w:p>
        </w:tc>
        <w:tc>
          <w:tcPr>
            <w:shd w:val="clear" w:color="auto" w:fill="F9F9F9"/>
            <w:vAlign w:val="center"/>
          </w:tcPr>
          <w:p>
            <w:pPr>
              <w:jc w:val="center"/>
              <w:rPr>
                <w:rFonts w:hint="eastAsia" w:ascii="仿宋" w:hAnsi="仿宋" w:eastAsia="仿宋" w:cs="仿宋"/>
                <w:sz w:val="24"/>
                <w:szCs w:val="24"/>
              </w:rPr>
            </w:pPr>
            <w:r>
              <w:rPr>
                <w:rFonts w:hint="eastAsia" w:ascii="仿宋" w:hAnsi="仿宋" w:eastAsia="仿宋" w:cs="仿宋"/>
                <w:sz w:val="24"/>
                <w:szCs w:val="24"/>
              </w:rPr>
              <w:t>3</w:t>
            </w:r>
          </w:p>
        </w:tc>
        <w:tc>
          <w:tcPr>
            <w:shd w:val="clear" w:color="auto" w:fill="F9F9F9"/>
            <w:vAlign w:val="center"/>
          </w:tcPr>
          <w:p>
            <w:pPr>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47675" cy="114300"/>
                  <wp:effectExtent l="0" t="0" r="9525" b="0"/>
                  <wp:docPr id="18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50"/>
                          <pic:cNvPicPr>
                            <a:picLocks noChangeAspect="1"/>
                          </pic:cNvPicPr>
                        </pic:nvPicPr>
                        <pic:blipFill>
                          <a:blip r:embed="rId24"/>
                          <a:stretch>
                            <a:fillRect/>
                          </a:stretch>
                        </pic:blipFill>
                        <pic:spPr>
                          <a:xfrm>
                            <a:off x="0" y="0"/>
                            <a:ext cx="447675" cy="114300"/>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904875" cy="114300"/>
                  <wp:effectExtent l="0" t="0" r="9525" b="0"/>
                  <wp:docPr id="17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51"/>
                          <pic:cNvPicPr>
                            <a:picLocks noChangeAspect="1"/>
                          </pic:cNvPicPr>
                        </pic:nvPicPr>
                        <pic:blipFill>
                          <a:blip r:embed="rId25"/>
                          <a:stretch>
                            <a:fillRect/>
                          </a:stretch>
                        </pic:blipFill>
                        <pic:spPr>
                          <a:xfrm>
                            <a:off x="0" y="0"/>
                            <a:ext cx="904875" cy="114300"/>
                          </a:xfrm>
                          <a:prstGeom prst="rect">
                            <a:avLst/>
                          </a:prstGeom>
                          <a:noFill/>
                          <a:ln>
                            <a:noFill/>
                          </a:ln>
                        </pic:spPr>
                      </pic:pic>
                    </a:graphicData>
                  </a:graphic>
                </wp:inline>
              </w:drawing>
            </w:r>
            <w:r>
              <w:rPr>
                <w:rFonts w:hint="eastAsia" w:ascii="仿宋" w:hAnsi="仿宋" w:eastAsia="仿宋" w:cs="仿宋"/>
                <w:sz w:val="24"/>
                <w:szCs w:val="24"/>
              </w:rPr>
              <w:t>33.33%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t>C.一般</w:t>
            </w:r>
          </w:p>
        </w:tc>
        <w:tc>
          <w:tcPr>
            <w:shd w:val="clear" w:color="auto" w:fill="FFFFFF"/>
            <w:vAlign w:val="center"/>
          </w:tcPr>
          <w:p>
            <w:pPr>
              <w:jc w:val="center"/>
              <w:rPr>
                <w:rFonts w:hint="eastAsia" w:ascii="仿宋" w:hAnsi="仿宋" w:eastAsia="仿宋" w:cs="仿宋"/>
                <w:sz w:val="24"/>
                <w:szCs w:val="24"/>
              </w:rPr>
            </w:pPr>
            <w:r>
              <w:rPr>
                <w:rFonts w:hint="eastAsia" w:ascii="仿宋" w:hAnsi="仿宋" w:eastAsia="仿宋" w:cs="仿宋"/>
                <w:sz w:val="24"/>
                <w:szCs w:val="24"/>
              </w:rPr>
              <w:t>0</w:t>
            </w:r>
          </w:p>
        </w:tc>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352550" cy="114300"/>
                  <wp:effectExtent l="0" t="0" r="0" b="0"/>
                  <wp:docPr id="17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52"/>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sz w:val="24"/>
                <w:szCs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rFonts w:hint="eastAsia" w:ascii="仿宋" w:hAnsi="仿宋" w:eastAsia="仿宋" w:cs="仿宋"/>
                <w:sz w:val="24"/>
                <w:szCs w:val="24"/>
              </w:rPr>
            </w:pPr>
            <w:r>
              <w:rPr>
                <w:rFonts w:hint="eastAsia" w:ascii="仿宋" w:hAnsi="仿宋" w:eastAsia="仿宋" w:cs="仿宋"/>
                <w:sz w:val="24"/>
                <w:szCs w:val="24"/>
              </w:rPr>
              <w:t>D.不满意</w:t>
            </w:r>
          </w:p>
        </w:tc>
        <w:tc>
          <w:tcPr>
            <w:shd w:val="clear" w:color="auto" w:fill="F9F9F9"/>
            <w:vAlign w:val="center"/>
          </w:tcPr>
          <w:p>
            <w:pPr>
              <w:jc w:val="center"/>
              <w:rPr>
                <w:rFonts w:hint="eastAsia" w:ascii="仿宋" w:hAnsi="仿宋" w:eastAsia="仿宋" w:cs="仿宋"/>
                <w:sz w:val="24"/>
                <w:szCs w:val="24"/>
              </w:rPr>
            </w:pPr>
            <w:r>
              <w:rPr>
                <w:rFonts w:hint="eastAsia" w:ascii="仿宋" w:hAnsi="仿宋" w:eastAsia="仿宋" w:cs="仿宋"/>
                <w:sz w:val="24"/>
                <w:szCs w:val="24"/>
              </w:rPr>
              <w:t>0</w:t>
            </w:r>
          </w:p>
        </w:tc>
        <w:tc>
          <w:tcPr>
            <w:shd w:val="clear" w:color="auto" w:fill="F9F9F9"/>
            <w:vAlign w:val="center"/>
          </w:tcPr>
          <w:p>
            <w:pPr>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352550" cy="114300"/>
                  <wp:effectExtent l="0" t="0" r="0" b="0"/>
                  <wp:docPr id="17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53"/>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sz w:val="24"/>
                <w:szCs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t>E.非常不满意</w:t>
            </w:r>
          </w:p>
        </w:tc>
        <w:tc>
          <w:tcPr>
            <w:shd w:val="clear" w:color="auto" w:fill="FFFFFF"/>
            <w:vAlign w:val="center"/>
          </w:tcPr>
          <w:p>
            <w:pPr>
              <w:jc w:val="center"/>
              <w:rPr>
                <w:rFonts w:hint="eastAsia" w:ascii="仿宋" w:hAnsi="仿宋" w:eastAsia="仿宋" w:cs="仿宋"/>
                <w:sz w:val="24"/>
                <w:szCs w:val="24"/>
              </w:rPr>
            </w:pPr>
            <w:r>
              <w:rPr>
                <w:rFonts w:hint="eastAsia" w:ascii="仿宋" w:hAnsi="仿宋" w:eastAsia="仿宋" w:cs="仿宋"/>
                <w:sz w:val="24"/>
                <w:szCs w:val="24"/>
              </w:rPr>
              <w:t>0</w:t>
            </w:r>
          </w:p>
        </w:tc>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352550" cy="114300"/>
                  <wp:effectExtent l="0" t="0" r="0" b="0"/>
                  <wp:docPr id="16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54"/>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sz w:val="24"/>
                <w:szCs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rPr>
                <w:rFonts w:hint="eastAsia" w:ascii="仿宋" w:hAnsi="仿宋" w:eastAsia="仿宋" w:cs="仿宋"/>
                <w:sz w:val="24"/>
                <w:szCs w:val="24"/>
              </w:rPr>
            </w:pPr>
            <w:r>
              <w:rPr>
                <w:rFonts w:hint="eastAsia" w:ascii="仿宋" w:hAnsi="仿宋" w:eastAsia="仿宋" w:cs="仿宋"/>
                <w:sz w:val="24"/>
                <w:szCs w:val="24"/>
              </w:rPr>
              <w:t>本题有效填写人次</w:t>
            </w:r>
          </w:p>
        </w:tc>
        <w:tc>
          <w:tcPr>
            <w:shd w:val="clear" w:color="auto" w:fill="E0E0E0"/>
            <w:vAlign w:val="center"/>
          </w:tcPr>
          <w:p>
            <w:pPr>
              <w:jc w:val="center"/>
              <w:rPr>
                <w:rFonts w:hint="eastAsia" w:ascii="仿宋" w:hAnsi="仿宋" w:eastAsia="仿宋" w:cs="仿宋"/>
                <w:sz w:val="24"/>
                <w:szCs w:val="24"/>
              </w:rPr>
            </w:pPr>
            <w:r>
              <w:rPr>
                <w:rFonts w:hint="eastAsia" w:ascii="仿宋" w:hAnsi="仿宋" w:eastAsia="仿宋" w:cs="仿宋"/>
                <w:sz w:val="24"/>
                <w:szCs w:val="24"/>
              </w:rPr>
              <w:t>9</w:t>
            </w:r>
          </w:p>
        </w:tc>
        <w:tc>
          <w:tcPr>
            <w:shd w:val="clear" w:color="auto" w:fill="E0E0E0"/>
            <w:vAlign w:val="center"/>
          </w:tcPr>
          <w:p>
            <w:pPr>
              <w:jc w:val="left"/>
              <w:rPr>
                <w:rFonts w:hint="eastAsia" w:ascii="仿宋" w:hAnsi="仿宋" w:eastAsia="仿宋" w:cs="仿宋"/>
                <w:sz w:val="24"/>
                <w:szCs w:val="24"/>
              </w:rPr>
            </w:pPr>
          </w:p>
        </w:tc>
      </w:tr>
    </w:tbl>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r>
        <w:rPr>
          <w:rFonts w:hint="eastAsia" w:ascii="仿宋" w:hAnsi="仿宋" w:eastAsia="仿宋" w:cs="仿宋"/>
          <w:b w:val="0"/>
          <w:color w:val="000000"/>
          <w:sz w:val="24"/>
          <w:szCs w:val="24"/>
          <w:lang w:val="en-US" w:eastAsia="zh-CN"/>
        </w:rPr>
        <w:t>3</w:t>
      </w:r>
      <w:r>
        <w:rPr>
          <w:rFonts w:hint="eastAsia" w:ascii="仿宋" w:hAnsi="仿宋" w:eastAsia="仿宋" w:cs="仿宋"/>
          <w:b w:val="0"/>
          <w:color w:val="000000"/>
          <w:sz w:val="24"/>
          <w:szCs w:val="24"/>
        </w:rPr>
        <w:t xml:space="preserve">.您对自身岗位职责任命的满意度程度？  </w:t>
      </w:r>
    </w:p>
    <w:tbl>
      <w:tblPr>
        <w:tblStyle w:val="7"/>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070"/>
        <w:gridCol w:w="1001"/>
        <w:gridCol w:w="4451"/>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rFonts w:hint="eastAsia" w:ascii="仿宋" w:hAnsi="仿宋" w:eastAsia="仿宋" w:cs="仿宋"/>
                <w:sz w:val="24"/>
                <w:szCs w:val="24"/>
              </w:rPr>
            </w:pPr>
            <w:r>
              <w:rPr>
                <w:rFonts w:hint="eastAsia" w:ascii="仿宋" w:hAnsi="仿宋" w:eastAsia="仿宋" w:cs="仿宋"/>
                <w:sz w:val="24"/>
                <w:szCs w:val="24"/>
              </w:rPr>
              <w:t>选项</w:t>
            </w:r>
          </w:p>
        </w:tc>
        <w:tc>
          <w:tcPr>
            <w:shd w:val="clear" w:color="auto" w:fill="E0E0E0"/>
            <w:vAlign w:val="center"/>
          </w:tcPr>
          <w:p>
            <w:pPr>
              <w:jc w:val="center"/>
              <w:rPr>
                <w:rFonts w:hint="eastAsia" w:ascii="仿宋" w:hAnsi="仿宋" w:eastAsia="仿宋" w:cs="仿宋"/>
                <w:sz w:val="24"/>
                <w:szCs w:val="24"/>
              </w:rPr>
            </w:pPr>
            <w:r>
              <w:rPr>
                <w:rFonts w:hint="eastAsia" w:ascii="仿宋" w:hAnsi="仿宋" w:eastAsia="仿宋" w:cs="仿宋"/>
                <w:sz w:val="24"/>
                <w:szCs w:val="24"/>
              </w:rPr>
              <w:t>小计</w:t>
            </w:r>
          </w:p>
        </w:tc>
        <w:tc>
          <w:tcPr>
            <w:shd w:val="clear" w:color="auto" w:fill="E0E0E0"/>
            <w:vAlign w:val="center"/>
          </w:tcPr>
          <w:p>
            <w:pPr>
              <w:jc w:val="center"/>
              <w:rPr>
                <w:rFonts w:hint="eastAsia" w:ascii="仿宋" w:hAnsi="仿宋" w:eastAsia="仿宋" w:cs="仿宋"/>
                <w:sz w:val="24"/>
                <w:szCs w:val="24"/>
              </w:rPr>
            </w:pPr>
            <w:r>
              <w:rPr>
                <w:rFonts w:hint="eastAsia" w:ascii="仿宋" w:hAnsi="仿宋" w:eastAsia="仿宋" w:cs="仿宋"/>
                <w:sz w:val="24"/>
                <w:szCs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t>A.非常满意</w:t>
            </w:r>
          </w:p>
        </w:tc>
        <w:tc>
          <w:tcPr>
            <w:shd w:val="clear" w:color="auto" w:fill="FFFFFF"/>
            <w:vAlign w:val="center"/>
          </w:tcPr>
          <w:p>
            <w:pPr>
              <w:jc w:val="center"/>
              <w:rPr>
                <w:rFonts w:hint="eastAsia" w:ascii="仿宋" w:hAnsi="仿宋" w:eastAsia="仿宋" w:cs="仿宋"/>
                <w:sz w:val="24"/>
                <w:szCs w:val="24"/>
              </w:rPr>
            </w:pPr>
            <w:r>
              <w:rPr>
                <w:rFonts w:hint="eastAsia" w:ascii="仿宋" w:hAnsi="仿宋" w:eastAsia="仿宋" w:cs="仿宋"/>
                <w:sz w:val="24"/>
                <w:szCs w:val="24"/>
              </w:rPr>
              <w:t>4</w:t>
            </w:r>
          </w:p>
        </w:tc>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600075" cy="114300"/>
                  <wp:effectExtent l="0" t="0" r="9525" b="0"/>
                  <wp:docPr id="16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55"/>
                          <pic:cNvPicPr>
                            <a:picLocks noChangeAspect="1"/>
                          </pic:cNvPicPr>
                        </pic:nvPicPr>
                        <pic:blipFill>
                          <a:blip r:embed="rId9"/>
                          <a:stretch>
                            <a:fillRect/>
                          </a:stretch>
                        </pic:blipFill>
                        <pic:spPr>
                          <a:xfrm>
                            <a:off x="0" y="0"/>
                            <a:ext cx="600075" cy="114300"/>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752475" cy="114300"/>
                  <wp:effectExtent l="0" t="0" r="9525" b="0"/>
                  <wp:docPr id="16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6"/>
                          <pic:cNvPicPr>
                            <a:picLocks noChangeAspect="1"/>
                          </pic:cNvPicPr>
                        </pic:nvPicPr>
                        <pic:blipFill>
                          <a:blip r:embed="rId10"/>
                          <a:stretch>
                            <a:fillRect/>
                          </a:stretch>
                        </pic:blipFill>
                        <pic:spPr>
                          <a:xfrm>
                            <a:off x="0" y="0"/>
                            <a:ext cx="752475" cy="114300"/>
                          </a:xfrm>
                          <a:prstGeom prst="rect">
                            <a:avLst/>
                          </a:prstGeom>
                          <a:noFill/>
                          <a:ln>
                            <a:noFill/>
                          </a:ln>
                        </pic:spPr>
                      </pic:pic>
                    </a:graphicData>
                  </a:graphic>
                </wp:inline>
              </w:drawing>
            </w:r>
            <w:r>
              <w:rPr>
                <w:rFonts w:hint="eastAsia" w:ascii="仿宋" w:hAnsi="仿宋" w:eastAsia="仿宋" w:cs="仿宋"/>
                <w:sz w:val="24"/>
                <w:szCs w:val="24"/>
              </w:rPr>
              <w:t>44.44%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rFonts w:hint="eastAsia" w:ascii="仿宋" w:hAnsi="仿宋" w:eastAsia="仿宋" w:cs="仿宋"/>
                <w:sz w:val="24"/>
                <w:szCs w:val="24"/>
              </w:rPr>
            </w:pPr>
            <w:r>
              <w:rPr>
                <w:rFonts w:hint="eastAsia" w:ascii="仿宋" w:hAnsi="仿宋" w:eastAsia="仿宋" w:cs="仿宋"/>
                <w:sz w:val="24"/>
                <w:szCs w:val="24"/>
              </w:rPr>
              <w:t>B.满意</w:t>
            </w:r>
          </w:p>
        </w:tc>
        <w:tc>
          <w:tcPr>
            <w:shd w:val="clear" w:color="auto" w:fill="F9F9F9"/>
            <w:vAlign w:val="center"/>
          </w:tcPr>
          <w:p>
            <w:pPr>
              <w:jc w:val="center"/>
              <w:rPr>
                <w:rFonts w:hint="eastAsia" w:ascii="仿宋" w:hAnsi="仿宋" w:eastAsia="仿宋" w:cs="仿宋"/>
                <w:sz w:val="24"/>
                <w:szCs w:val="24"/>
              </w:rPr>
            </w:pPr>
            <w:r>
              <w:rPr>
                <w:rFonts w:hint="eastAsia" w:ascii="仿宋" w:hAnsi="仿宋" w:eastAsia="仿宋" w:cs="仿宋"/>
                <w:sz w:val="24"/>
                <w:szCs w:val="24"/>
              </w:rPr>
              <w:t>5</w:t>
            </w:r>
          </w:p>
        </w:tc>
        <w:tc>
          <w:tcPr>
            <w:shd w:val="clear" w:color="auto" w:fill="F9F9F9"/>
            <w:vAlign w:val="center"/>
          </w:tcPr>
          <w:p>
            <w:pPr>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742950" cy="114300"/>
                  <wp:effectExtent l="0" t="0" r="0" b="0"/>
                  <wp:docPr id="16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57"/>
                          <pic:cNvPicPr>
                            <a:picLocks noChangeAspect="1"/>
                          </pic:cNvPicPr>
                        </pic:nvPicPr>
                        <pic:blipFill>
                          <a:blip r:embed="rId26"/>
                          <a:stretch>
                            <a:fillRect/>
                          </a:stretch>
                        </pic:blipFill>
                        <pic:spPr>
                          <a:xfrm>
                            <a:off x="0" y="0"/>
                            <a:ext cx="742950" cy="114300"/>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609600" cy="114300"/>
                  <wp:effectExtent l="0" t="0" r="0" b="0"/>
                  <wp:docPr id="16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58"/>
                          <pic:cNvPicPr>
                            <a:picLocks noChangeAspect="1"/>
                          </pic:cNvPicPr>
                        </pic:nvPicPr>
                        <pic:blipFill>
                          <a:blip r:embed="rId27"/>
                          <a:stretch>
                            <a:fillRect/>
                          </a:stretch>
                        </pic:blipFill>
                        <pic:spPr>
                          <a:xfrm>
                            <a:off x="0" y="0"/>
                            <a:ext cx="609600" cy="114300"/>
                          </a:xfrm>
                          <a:prstGeom prst="rect">
                            <a:avLst/>
                          </a:prstGeom>
                          <a:noFill/>
                          <a:ln>
                            <a:noFill/>
                          </a:ln>
                        </pic:spPr>
                      </pic:pic>
                    </a:graphicData>
                  </a:graphic>
                </wp:inline>
              </w:drawing>
            </w:r>
            <w:r>
              <w:rPr>
                <w:rFonts w:hint="eastAsia" w:ascii="仿宋" w:hAnsi="仿宋" w:eastAsia="仿宋" w:cs="仿宋"/>
                <w:sz w:val="24"/>
                <w:szCs w:val="24"/>
              </w:rPr>
              <w:t>55.56%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t>C.一般</w:t>
            </w:r>
          </w:p>
        </w:tc>
        <w:tc>
          <w:tcPr>
            <w:shd w:val="clear" w:color="auto" w:fill="FFFFFF"/>
            <w:vAlign w:val="center"/>
          </w:tcPr>
          <w:p>
            <w:pPr>
              <w:jc w:val="center"/>
              <w:rPr>
                <w:rFonts w:hint="eastAsia" w:ascii="仿宋" w:hAnsi="仿宋" w:eastAsia="仿宋" w:cs="仿宋"/>
                <w:sz w:val="24"/>
                <w:szCs w:val="24"/>
              </w:rPr>
            </w:pPr>
            <w:r>
              <w:rPr>
                <w:rFonts w:hint="eastAsia" w:ascii="仿宋" w:hAnsi="仿宋" w:eastAsia="仿宋" w:cs="仿宋"/>
                <w:sz w:val="24"/>
                <w:szCs w:val="24"/>
              </w:rPr>
              <w:t>0</w:t>
            </w:r>
          </w:p>
        </w:tc>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352550" cy="114300"/>
                  <wp:effectExtent l="0" t="0" r="0" b="0"/>
                  <wp:docPr id="16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9"/>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sz w:val="24"/>
                <w:szCs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rFonts w:hint="eastAsia" w:ascii="仿宋" w:hAnsi="仿宋" w:eastAsia="仿宋" w:cs="仿宋"/>
                <w:sz w:val="24"/>
                <w:szCs w:val="24"/>
              </w:rPr>
            </w:pPr>
            <w:r>
              <w:rPr>
                <w:rFonts w:hint="eastAsia" w:ascii="仿宋" w:hAnsi="仿宋" w:eastAsia="仿宋" w:cs="仿宋"/>
                <w:sz w:val="24"/>
                <w:szCs w:val="24"/>
              </w:rPr>
              <w:t>D.不满意</w:t>
            </w:r>
          </w:p>
        </w:tc>
        <w:tc>
          <w:tcPr>
            <w:shd w:val="clear" w:color="auto" w:fill="F9F9F9"/>
            <w:vAlign w:val="center"/>
          </w:tcPr>
          <w:p>
            <w:pPr>
              <w:jc w:val="center"/>
              <w:rPr>
                <w:rFonts w:hint="eastAsia" w:ascii="仿宋" w:hAnsi="仿宋" w:eastAsia="仿宋" w:cs="仿宋"/>
                <w:sz w:val="24"/>
                <w:szCs w:val="24"/>
              </w:rPr>
            </w:pPr>
            <w:r>
              <w:rPr>
                <w:rFonts w:hint="eastAsia" w:ascii="仿宋" w:hAnsi="仿宋" w:eastAsia="仿宋" w:cs="仿宋"/>
                <w:sz w:val="24"/>
                <w:szCs w:val="24"/>
              </w:rPr>
              <w:t>0</w:t>
            </w:r>
          </w:p>
        </w:tc>
        <w:tc>
          <w:tcPr>
            <w:shd w:val="clear" w:color="auto" w:fill="F9F9F9"/>
            <w:vAlign w:val="center"/>
          </w:tcPr>
          <w:p>
            <w:pPr>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352550" cy="114300"/>
                  <wp:effectExtent l="0" t="0" r="0" b="0"/>
                  <wp:docPr id="16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60"/>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sz w:val="24"/>
                <w:szCs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t>E.非常不满意</w:t>
            </w:r>
          </w:p>
        </w:tc>
        <w:tc>
          <w:tcPr>
            <w:shd w:val="clear" w:color="auto" w:fill="FFFFFF"/>
            <w:vAlign w:val="center"/>
          </w:tcPr>
          <w:p>
            <w:pPr>
              <w:jc w:val="center"/>
              <w:rPr>
                <w:rFonts w:hint="eastAsia" w:ascii="仿宋" w:hAnsi="仿宋" w:eastAsia="仿宋" w:cs="仿宋"/>
                <w:sz w:val="24"/>
                <w:szCs w:val="24"/>
              </w:rPr>
            </w:pPr>
            <w:r>
              <w:rPr>
                <w:rFonts w:hint="eastAsia" w:ascii="仿宋" w:hAnsi="仿宋" w:eastAsia="仿宋" w:cs="仿宋"/>
                <w:sz w:val="24"/>
                <w:szCs w:val="24"/>
              </w:rPr>
              <w:t>0</w:t>
            </w:r>
          </w:p>
        </w:tc>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352550" cy="114300"/>
                  <wp:effectExtent l="0" t="0" r="0" b="0"/>
                  <wp:docPr id="16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61"/>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sz w:val="24"/>
                <w:szCs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rPr>
                <w:rFonts w:hint="eastAsia" w:ascii="仿宋" w:hAnsi="仿宋" w:eastAsia="仿宋" w:cs="仿宋"/>
                <w:sz w:val="24"/>
                <w:szCs w:val="24"/>
              </w:rPr>
            </w:pPr>
            <w:r>
              <w:rPr>
                <w:rFonts w:hint="eastAsia" w:ascii="仿宋" w:hAnsi="仿宋" w:eastAsia="仿宋" w:cs="仿宋"/>
                <w:sz w:val="24"/>
                <w:szCs w:val="24"/>
              </w:rPr>
              <w:t>本题有效填写人次</w:t>
            </w:r>
          </w:p>
        </w:tc>
        <w:tc>
          <w:tcPr>
            <w:shd w:val="clear" w:color="auto" w:fill="E0E0E0"/>
            <w:vAlign w:val="center"/>
          </w:tcPr>
          <w:p>
            <w:pPr>
              <w:jc w:val="center"/>
              <w:rPr>
                <w:rFonts w:hint="eastAsia" w:ascii="仿宋" w:hAnsi="仿宋" w:eastAsia="仿宋" w:cs="仿宋"/>
                <w:sz w:val="24"/>
                <w:szCs w:val="24"/>
              </w:rPr>
            </w:pPr>
            <w:r>
              <w:rPr>
                <w:rFonts w:hint="eastAsia" w:ascii="仿宋" w:hAnsi="仿宋" w:eastAsia="仿宋" w:cs="仿宋"/>
                <w:sz w:val="24"/>
                <w:szCs w:val="24"/>
              </w:rPr>
              <w:t>9</w:t>
            </w:r>
          </w:p>
        </w:tc>
        <w:tc>
          <w:tcPr>
            <w:shd w:val="clear" w:color="auto" w:fill="E0E0E0"/>
            <w:vAlign w:val="center"/>
          </w:tcPr>
          <w:p>
            <w:pPr>
              <w:jc w:val="left"/>
              <w:rPr>
                <w:rFonts w:hint="eastAsia" w:ascii="仿宋" w:hAnsi="仿宋" w:eastAsia="仿宋" w:cs="仿宋"/>
                <w:sz w:val="24"/>
                <w:szCs w:val="24"/>
              </w:rPr>
            </w:pPr>
          </w:p>
        </w:tc>
      </w:tr>
    </w:tbl>
    <w:p>
      <w:pPr>
        <w:rPr>
          <w:rFonts w:hint="eastAsia" w:ascii="仿宋" w:hAnsi="仿宋" w:eastAsia="仿宋" w:cs="仿宋"/>
          <w:sz w:val="24"/>
          <w:szCs w:val="24"/>
        </w:rPr>
      </w:pPr>
    </w:p>
    <w:p>
      <w:pPr>
        <w:rPr>
          <w:rFonts w:hint="eastAsia" w:ascii="仿宋" w:hAnsi="仿宋" w:eastAsia="仿宋" w:cs="仿宋"/>
          <w:sz w:val="24"/>
          <w:szCs w:val="24"/>
        </w:rPr>
      </w:pPr>
    </w:p>
    <w:p>
      <w:pPr>
        <w:rPr>
          <w:rFonts w:hint="eastAsia" w:ascii="仿宋" w:hAnsi="仿宋" w:eastAsia="仿宋" w:cs="仿宋"/>
          <w:sz w:val="24"/>
          <w:szCs w:val="24"/>
        </w:rPr>
      </w:pPr>
      <w:r>
        <w:rPr>
          <w:rFonts w:hint="eastAsia" w:ascii="仿宋" w:hAnsi="仿宋" w:eastAsia="仿宋" w:cs="仿宋"/>
          <w:b w:val="0"/>
          <w:color w:val="000000"/>
          <w:sz w:val="24"/>
          <w:szCs w:val="24"/>
          <w:lang w:val="en-US" w:eastAsia="zh-CN"/>
        </w:rPr>
        <w:t>4</w:t>
      </w:r>
      <w:r>
        <w:rPr>
          <w:rFonts w:hint="eastAsia" w:ascii="仿宋" w:hAnsi="仿宋" w:eastAsia="仿宋" w:cs="仿宋"/>
          <w:b w:val="0"/>
          <w:color w:val="000000"/>
          <w:sz w:val="24"/>
          <w:szCs w:val="24"/>
        </w:rPr>
        <w:t xml:space="preserve">.请选择您对自身岗位职责的工作热情度？(5为最高值)  </w:t>
      </w:r>
    </w:p>
    <w:tbl>
      <w:tblPr>
        <w:tblStyle w:val="7"/>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070"/>
        <w:gridCol w:w="1001"/>
        <w:gridCol w:w="4451"/>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rPr>
                <w:rFonts w:hint="eastAsia" w:ascii="仿宋" w:hAnsi="仿宋" w:eastAsia="仿宋" w:cs="仿宋"/>
                <w:sz w:val="24"/>
                <w:szCs w:val="24"/>
              </w:rPr>
            </w:pPr>
            <w:r>
              <w:rPr>
                <w:rFonts w:hint="eastAsia" w:ascii="仿宋" w:hAnsi="仿宋" w:eastAsia="仿宋" w:cs="仿宋"/>
                <w:sz w:val="24"/>
                <w:szCs w:val="24"/>
              </w:rPr>
              <w:t>选项</w:t>
            </w:r>
          </w:p>
        </w:tc>
        <w:tc>
          <w:tcPr>
            <w:shd w:val="clear" w:color="auto" w:fill="E0E0E0"/>
            <w:vAlign w:val="center"/>
          </w:tcPr>
          <w:p>
            <w:pPr>
              <w:jc w:val="center"/>
              <w:rPr>
                <w:rFonts w:hint="eastAsia" w:ascii="仿宋" w:hAnsi="仿宋" w:eastAsia="仿宋" w:cs="仿宋"/>
                <w:sz w:val="24"/>
                <w:szCs w:val="24"/>
              </w:rPr>
            </w:pPr>
            <w:r>
              <w:rPr>
                <w:rFonts w:hint="eastAsia" w:ascii="仿宋" w:hAnsi="仿宋" w:eastAsia="仿宋" w:cs="仿宋"/>
                <w:sz w:val="24"/>
                <w:szCs w:val="24"/>
              </w:rPr>
              <w:t>小计</w:t>
            </w:r>
          </w:p>
        </w:tc>
        <w:tc>
          <w:tcPr>
            <w:shd w:val="clear" w:color="auto" w:fill="E0E0E0"/>
            <w:vAlign w:val="center"/>
          </w:tcPr>
          <w:p>
            <w:pPr>
              <w:jc w:val="center"/>
              <w:rPr>
                <w:rFonts w:hint="eastAsia" w:ascii="仿宋" w:hAnsi="仿宋" w:eastAsia="仿宋" w:cs="仿宋"/>
                <w:sz w:val="24"/>
                <w:szCs w:val="24"/>
              </w:rPr>
            </w:pPr>
            <w:r>
              <w:rPr>
                <w:rFonts w:hint="eastAsia" w:ascii="仿宋" w:hAnsi="仿宋" w:eastAsia="仿宋" w:cs="仿宋"/>
                <w:sz w:val="24"/>
                <w:szCs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p>
        </w:tc>
        <w:tc>
          <w:tcPr>
            <w:shd w:val="clear" w:color="auto" w:fill="FFFFFF"/>
            <w:vAlign w:val="center"/>
          </w:tcPr>
          <w:p>
            <w:pPr>
              <w:jc w:val="center"/>
              <w:rPr>
                <w:rFonts w:hint="eastAsia" w:ascii="仿宋" w:hAnsi="仿宋" w:eastAsia="仿宋" w:cs="仿宋"/>
                <w:sz w:val="24"/>
                <w:szCs w:val="24"/>
              </w:rPr>
            </w:pPr>
            <w:r>
              <w:rPr>
                <w:rFonts w:hint="eastAsia" w:ascii="仿宋" w:hAnsi="仿宋" w:eastAsia="仿宋" w:cs="仿宋"/>
                <w:sz w:val="24"/>
                <w:szCs w:val="24"/>
              </w:rPr>
              <w:t>0</w:t>
            </w:r>
          </w:p>
        </w:tc>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352550" cy="114300"/>
                  <wp:effectExtent l="0" t="0" r="0" b="0"/>
                  <wp:docPr id="17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62"/>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sz w:val="24"/>
                <w:szCs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p>
        </w:tc>
        <w:tc>
          <w:tcPr>
            <w:shd w:val="clear" w:color="auto" w:fill="F9F9F9"/>
            <w:vAlign w:val="center"/>
          </w:tcPr>
          <w:p>
            <w:pPr>
              <w:jc w:val="center"/>
              <w:rPr>
                <w:rFonts w:hint="eastAsia" w:ascii="仿宋" w:hAnsi="仿宋" w:eastAsia="仿宋" w:cs="仿宋"/>
                <w:sz w:val="24"/>
                <w:szCs w:val="24"/>
              </w:rPr>
            </w:pPr>
            <w:r>
              <w:rPr>
                <w:rFonts w:hint="eastAsia" w:ascii="仿宋" w:hAnsi="仿宋" w:eastAsia="仿宋" w:cs="仿宋"/>
                <w:sz w:val="24"/>
                <w:szCs w:val="24"/>
              </w:rPr>
              <w:t>0</w:t>
            </w:r>
          </w:p>
        </w:tc>
        <w:tc>
          <w:tcPr>
            <w:shd w:val="clear" w:color="auto" w:fill="F9F9F9"/>
            <w:vAlign w:val="center"/>
          </w:tcPr>
          <w:p>
            <w:pPr>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352550" cy="114300"/>
                  <wp:effectExtent l="0" t="0" r="0" b="0"/>
                  <wp:docPr id="168"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63"/>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rPr>
                <w:rFonts w:hint="eastAsia" w:ascii="仿宋" w:hAnsi="仿宋" w:eastAsia="仿宋" w:cs="仿宋"/>
                <w:sz w:val="24"/>
                <w:szCs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p>
        </w:tc>
        <w:tc>
          <w:tcPr>
            <w:shd w:val="clear" w:color="auto" w:fill="FFFFFF"/>
            <w:vAlign w:val="center"/>
          </w:tcPr>
          <w:p>
            <w:pPr>
              <w:jc w:val="center"/>
              <w:rPr>
                <w:rFonts w:hint="eastAsia" w:ascii="仿宋" w:hAnsi="仿宋" w:eastAsia="仿宋" w:cs="仿宋"/>
                <w:sz w:val="24"/>
                <w:szCs w:val="24"/>
              </w:rPr>
            </w:pPr>
            <w:r>
              <w:rPr>
                <w:rFonts w:hint="eastAsia" w:ascii="仿宋" w:hAnsi="仿宋" w:eastAsia="仿宋" w:cs="仿宋"/>
                <w:sz w:val="24"/>
                <w:szCs w:val="24"/>
              </w:rPr>
              <w:t>1</w:t>
            </w:r>
          </w:p>
        </w:tc>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42875" cy="114300"/>
                  <wp:effectExtent l="0" t="0" r="9525" b="0"/>
                  <wp:docPr id="16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64"/>
                          <pic:cNvPicPr>
                            <a:picLocks noChangeAspect="1"/>
                          </pic:cNvPicPr>
                        </pic:nvPicPr>
                        <pic:blipFill>
                          <a:blip r:embed="rId28"/>
                          <a:stretch>
                            <a:fillRect/>
                          </a:stretch>
                        </pic:blipFill>
                        <pic:spPr>
                          <a:xfrm>
                            <a:off x="0" y="0"/>
                            <a:ext cx="142875" cy="114300"/>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1209675" cy="114300"/>
                  <wp:effectExtent l="0" t="0" r="9525" b="0"/>
                  <wp:docPr id="17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65"/>
                          <pic:cNvPicPr>
                            <a:picLocks noChangeAspect="1"/>
                          </pic:cNvPicPr>
                        </pic:nvPicPr>
                        <pic:blipFill>
                          <a:blip r:embed="rId29"/>
                          <a:stretch>
                            <a:fillRect/>
                          </a:stretch>
                        </pic:blipFill>
                        <pic:spPr>
                          <a:xfrm>
                            <a:off x="0" y="0"/>
                            <a:ext cx="1209675" cy="114300"/>
                          </a:xfrm>
                          <a:prstGeom prst="rect">
                            <a:avLst/>
                          </a:prstGeom>
                          <a:noFill/>
                          <a:ln>
                            <a:noFill/>
                          </a:ln>
                        </pic:spPr>
                      </pic:pic>
                    </a:graphicData>
                  </a:graphic>
                </wp:inline>
              </w:drawing>
            </w:r>
            <w:r>
              <w:rPr>
                <w:rFonts w:hint="eastAsia" w:ascii="仿宋" w:hAnsi="仿宋" w:eastAsia="仿宋" w:cs="仿宋"/>
                <w:sz w:val="24"/>
                <w:szCs w:val="24"/>
              </w:rPr>
              <w:t>11.11%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p>
        </w:tc>
        <w:tc>
          <w:tcPr>
            <w:shd w:val="clear" w:color="auto" w:fill="F9F9F9"/>
            <w:vAlign w:val="center"/>
          </w:tcPr>
          <w:p>
            <w:pPr>
              <w:jc w:val="center"/>
              <w:rPr>
                <w:rFonts w:hint="eastAsia" w:ascii="仿宋" w:hAnsi="仿宋" w:eastAsia="仿宋" w:cs="仿宋"/>
                <w:sz w:val="24"/>
                <w:szCs w:val="24"/>
              </w:rPr>
            </w:pPr>
            <w:r>
              <w:rPr>
                <w:rFonts w:hint="eastAsia" w:ascii="仿宋" w:hAnsi="仿宋" w:eastAsia="仿宋" w:cs="仿宋"/>
                <w:sz w:val="24"/>
                <w:szCs w:val="24"/>
              </w:rPr>
              <w:t>2</w:t>
            </w:r>
          </w:p>
        </w:tc>
        <w:tc>
          <w:tcPr>
            <w:shd w:val="clear" w:color="auto" w:fill="F9F9F9"/>
            <w:vAlign w:val="center"/>
          </w:tcPr>
          <w:p>
            <w:pPr>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295275" cy="114300"/>
                  <wp:effectExtent l="0" t="0" r="9525" b="0"/>
                  <wp:docPr id="17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66"/>
                          <pic:cNvPicPr>
                            <a:picLocks noChangeAspect="1"/>
                          </pic:cNvPicPr>
                        </pic:nvPicPr>
                        <pic:blipFill>
                          <a:blip r:embed="rId30"/>
                          <a:stretch>
                            <a:fillRect/>
                          </a:stretch>
                        </pic:blipFill>
                        <pic:spPr>
                          <a:xfrm>
                            <a:off x="0" y="0"/>
                            <a:ext cx="295275" cy="114300"/>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1057275" cy="114300"/>
                  <wp:effectExtent l="0" t="0" r="9525" b="0"/>
                  <wp:docPr id="17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67"/>
                          <pic:cNvPicPr>
                            <a:picLocks noChangeAspect="1"/>
                          </pic:cNvPicPr>
                        </pic:nvPicPr>
                        <pic:blipFill>
                          <a:blip r:embed="rId31"/>
                          <a:stretch>
                            <a:fillRect/>
                          </a:stretch>
                        </pic:blipFill>
                        <pic:spPr>
                          <a:xfrm>
                            <a:off x="0" y="0"/>
                            <a:ext cx="1057275" cy="114300"/>
                          </a:xfrm>
                          <a:prstGeom prst="rect">
                            <a:avLst/>
                          </a:prstGeom>
                          <a:noFill/>
                          <a:ln>
                            <a:noFill/>
                          </a:ln>
                        </pic:spPr>
                      </pic:pic>
                    </a:graphicData>
                  </a:graphic>
                </wp:inline>
              </w:drawing>
            </w:r>
            <w:r>
              <w:rPr>
                <w:rFonts w:hint="eastAsia" w:ascii="仿宋" w:hAnsi="仿宋" w:eastAsia="仿宋" w:cs="仿宋"/>
                <w:sz w:val="24"/>
                <w:szCs w:val="24"/>
              </w:rPr>
              <w:t>22.22%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rPr>
                <w:rFonts w:hint="eastAsia" w:ascii="仿宋" w:hAnsi="仿宋" w:eastAsia="仿宋" w:cs="仿宋"/>
                <w:sz w:val="24"/>
                <w:szCs w:val="24"/>
                <w:lang w:eastAsia="zh-CN"/>
              </w:rPr>
            </w:pPr>
            <w:r>
              <w:rPr>
                <w:rFonts w:hint="eastAsia" w:ascii="仿宋" w:hAnsi="仿宋" w:eastAsia="仿宋" w:cs="仿宋"/>
                <w:sz w:val="24"/>
                <w:szCs w:val="24"/>
                <w:lang w:val="en-US" w:eastAsia="zh-CN"/>
              </w:rPr>
              <w:t>5</w:t>
            </w:r>
          </w:p>
        </w:tc>
        <w:tc>
          <w:tcPr>
            <w:shd w:val="clear" w:color="auto" w:fill="FFFFFF"/>
            <w:vAlign w:val="center"/>
          </w:tcPr>
          <w:p>
            <w:pPr>
              <w:jc w:val="center"/>
              <w:rPr>
                <w:rFonts w:hint="eastAsia" w:ascii="仿宋" w:hAnsi="仿宋" w:eastAsia="仿宋" w:cs="仿宋"/>
                <w:sz w:val="24"/>
                <w:szCs w:val="24"/>
              </w:rPr>
            </w:pPr>
            <w:r>
              <w:rPr>
                <w:rFonts w:hint="eastAsia" w:ascii="仿宋" w:hAnsi="仿宋" w:eastAsia="仿宋" w:cs="仿宋"/>
                <w:sz w:val="24"/>
                <w:szCs w:val="24"/>
              </w:rPr>
              <w:t>6</w:t>
            </w:r>
          </w:p>
        </w:tc>
        <w:tc>
          <w:tcPr>
            <w:shd w:val="clear" w:color="auto" w:fill="FFFFFF"/>
            <w:vAlign w:val="center"/>
          </w:tcPr>
          <w:p>
            <w:pPr>
              <w:jc w:val="left"/>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895350" cy="114300"/>
                  <wp:effectExtent l="0" t="0" r="0" b="0"/>
                  <wp:docPr id="17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68"/>
                          <pic:cNvPicPr>
                            <a:picLocks noChangeAspect="1"/>
                          </pic:cNvPicPr>
                        </pic:nvPicPr>
                        <pic:blipFill>
                          <a:blip r:embed="rId22"/>
                          <a:stretch>
                            <a:fillRect/>
                          </a:stretch>
                        </pic:blipFill>
                        <pic:spPr>
                          <a:xfrm>
                            <a:off x="0" y="0"/>
                            <a:ext cx="895350" cy="114300"/>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457200" cy="114300"/>
                  <wp:effectExtent l="0" t="0" r="0" b="0"/>
                  <wp:docPr id="17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69"/>
                          <pic:cNvPicPr>
                            <a:picLocks noChangeAspect="1"/>
                          </pic:cNvPicPr>
                        </pic:nvPicPr>
                        <pic:blipFill>
                          <a:blip r:embed="rId23"/>
                          <a:stretch>
                            <a:fillRect/>
                          </a:stretch>
                        </pic:blipFill>
                        <pic:spPr>
                          <a:xfrm>
                            <a:off x="0" y="0"/>
                            <a:ext cx="457200" cy="114300"/>
                          </a:xfrm>
                          <a:prstGeom prst="rect">
                            <a:avLst/>
                          </a:prstGeom>
                          <a:noFill/>
                          <a:ln>
                            <a:noFill/>
                          </a:ln>
                        </pic:spPr>
                      </pic:pic>
                    </a:graphicData>
                  </a:graphic>
                </wp:inline>
              </w:drawing>
            </w:r>
            <w:r>
              <w:rPr>
                <w:rFonts w:hint="eastAsia" w:ascii="仿宋" w:hAnsi="仿宋" w:eastAsia="仿宋" w:cs="仿宋"/>
                <w:sz w:val="24"/>
                <w:szCs w:val="24"/>
              </w:rPr>
              <w:t>66.67%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rPr>
                <w:rFonts w:hint="eastAsia" w:ascii="仿宋" w:hAnsi="仿宋" w:eastAsia="仿宋" w:cs="仿宋"/>
                <w:sz w:val="24"/>
                <w:szCs w:val="24"/>
              </w:rPr>
            </w:pPr>
            <w:r>
              <w:rPr>
                <w:rFonts w:hint="eastAsia" w:ascii="仿宋" w:hAnsi="仿宋" w:eastAsia="仿宋" w:cs="仿宋"/>
                <w:sz w:val="24"/>
                <w:szCs w:val="24"/>
              </w:rPr>
              <w:t>本题有效填写人次</w:t>
            </w:r>
          </w:p>
        </w:tc>
        <w:tc>
          <w:tcPr>
            <w:shd w:val="clear" w:color="auto" w:fill="E0E0E0"/>
            <w:vAlign w:val="center"/>
          </w:tcPr>
          <w:p>
            <w:pPr>
              <w:jc w:val="center"/>
              <w:rPr>
                <w:rFonts w:hint="eastAsia" w:ascii="仿宋" w:hAnsi="仿宋" w:eastAsia="仿宋" w:cs="仿宋"/>
                <w:sz w:val="24"/>
                <w:szCs w:val="24"/>
              </w:rPr>
            </w:pPr>
            <w:r>
              <w:rPr>
                <w:rFonts w:hint="eastAsia" w:ascii="仿宋" w:hAnsi="仿宋" w:eastAsia="仿宋" w:cs="仿宋"/>
                <w:sz w:val="24"/>
                <w:szCs w:val="24"/>
              </w:rPr>
              <w:t>9</w:t>
            </w:r>
          </w:p>
        </w:tc>
        <w:tc>
          <w:tcPr>
            <w:shd w:val="clear" w:color="auto" w:fill="E0E0E0"/>
            <w:vAlign w:val="center"/>
          </w:tcPr>
          <w:p>
            <w:pPr>
              <w:jc w:val="left"/>
              <w:rPr>
                <w:rFonts w:hint="eastAsia" w:ascii="仿宋" w:hAnsi="仿宋" w:eastAsia="仿宋" w:cs="仿宋"/>
                <w:sz w:val="24"/>
                <w:szCs w:val="24"/>
              </w:rPr>
            </w:pPr>
          </w:p>
        </w:tc>
      </w:tr>
    </w:tbl>
    <w:p>
      <w:pPr>
        <w:widowControl w:val="0"/>
        <w:spacing w:line="560" w:lineRule="exact"/>
        <w:ind w:firstLine="560" w:firstLineChars="200"/>
        <w:jc w:val="both"/>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（2）受益群体调查分析结果</w:t>
      </w:r>
    </w:p>
    <w:p>
      <w:pPr>
        <w:ind w:firstLine="560" w:firstLineChars="200"/>
        <w:rPr>
          <w:rFonts w:hint="default" w:ascii="仿宋" w:hAnsi="仿宋" w:eastAsia="仿宋" w:cs="仿宋"/>
          <w:b w:val="0"/>
          <w:bCs w:val="0"/>
          <w:kern w:val="2"/>
          <w:sz w:val="28"/>
          <w:szCs w:val="28"/>
          <w:highlight w:val="none"/>
          <w:lang w:val="en-US" w:eastAsia="zh-CN" w:bidi="ar-SA"/>
        </w:rPr>
      </w:pPr>
      <w:r>
        <w:rPr>
          <w:rFonts w:hint="eastAsia" w:ascii="仿宋" w:hAnsi="仿宋" w:eastAsia="仿宋" w:cs="仿宋"/>
          <w:b w:val="0"/>
          <w:bCs w:val="0"/>
          <w:kern w:val="2"/>
          <w:sz w:val="28"/>
          <w:szCs w:val="28"/>
          <w:highlight w:val="none"/>
          <w:lang w:val="en-US" w:eastAsia="zh-CN" w:bidi="ar-SA"/>
        </w:rPr>
        <w:t>本次共调查受益群体80人。受调查的受益群体对老干部局和老年大学整体工作较为满意。</w:t>
      </w:r>
    </w:p>
    <w:p>
      <w:pPr>
        <w:jc w:val="center"/>
        <w:rPr>
          <w:rFonts w:hint="eastAsia"/>
          <w:b/>
          <w:sz w:val="28"/>
          <w:szCs w:val="22"/>
          <w:highlight w:val="none"/>
          <w:lang w:val="en-US" w:eastAsia="zh-CN"/>
        </w:rPr>
      </w:pPr>
      <w:r>
        <w:rPr>
          <w:rFonts w:hint="eastAsia"/>
          <w:b/>
          <w:sz w:val="28"/>
          <w:szCs w:val="22"/>
          <w:highlight w:val="none"/>
          <w:lang w:val="en-US" w:eastAsia="zh-CN"/>
        </w:rPr>
        <w:t>老干部局及老年大学受益群体</w:t>
      </w:r>
      <w:r>
        <w:rPr>
          <w:b/>
          <w:sz w:val="28"/>
          <w:szCs w:val="22"/>
          <w:highlight w:val="none"/>
        </w:rPr>
        <w:t>满意度调查问卷</w:t>
      </w:r>
      <w:r>
        <w:rPr>
          <w:rFonts w:hint="eastAsia"/>
          <w:b/>
          <w:sz w:val="28"/>
          <w:szCs w:val="22"/>
          <w:highlight w:val="none"/>
          <w:lang w:val="en-US" w:eastAsia="zh-CN"/>
        </w:rPr>
        <w:t>统计结果</w:t>
      </w:r>
    </w:p>
    <w:p>
      <w:pPr>
        <w:rPr>
          <w:b w:val="0"/>
          <w:color w:val="0066FF"/>
          <w:sz w:val="24"/>
        </w:rPr>
      </w:pPr>
      <w:r>
        <w:rPr>
          <w:rFonts w:hint="eastAsia"/>
          <w:b w:val="0"/>
          <w:color w:val="000000"/>
          <w:sz w:val="24"/>
          <w:lang w:val="en-US" w:eastAsia="zh-CN"/>
        </w:rPr>
        <w:t>1</w:t>
      </w:r>
      <w:r>
        <w:rPr>
          <w:b w:val="0"/>
          <w:color w:val="000000"/>
          <w:sz w:val="24"/>
        </w:rPr>
        <w:t xml:space="preserve">.您是否属于困难离退休干部？ </w:t>
      </w:r>
    </w:p>
    <w:tbl>
      <w:tblPr>
        <w:tblStyle w:val="7"/>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065"/>
        <w:gridCol w:w="1028"/>
        <w:gridCol w:w="442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A.是</w:t>
            </w:r>
          </w:p>
        </w:tc>
        <w:tc>
          <w:tcPr>
            <w:shd w:val="clear" w:color="auto" w:fill="FFFFFF"/>
            <w:vAlign w:val="center"/>
          </w:tcPr>
          <w:p>
            <w:pPr>
              <w:jc w:val="center"/>
              <w:rPr>
                <w:rFonts w:hint="eastAsia" w:eastAsia="宋体"/>
                <w:lang w:eastAsia="zh-CN"/>
              </w:rPr>
            </w:pPr>
            <w:r>
              <w:rPr>
                <w:rFonts w:hint="eastAsia"/>
                <w:lang w:val="en-US" w:eastAsia="zh-CN"/>
              </w:rPr>
              <w:t>6</w:t>
            </w:r>
          </w:p>
        </w:tc>
        <w:tc>
          <w:tcPr>
            <w:shd w:val="clear" w:color="auto" w:fill="FFFFFF"/>
            <w:vAlign w:val="center"/>
          </w:tcPr>
          <w:p>
            <w:pPr>
              <w:jc w:val="left"/>
            </w:pPr>
            <w:r>
              <w:drawing>
                <wp:inline distT="0" distB="0" distL="114300" distR="114300">
                  <wp:extent cx="200025" cy="114300"/>
                  <wp:effectExtent l="0" t="0" r="9525" b="0"/>
                  <wp:docPr id="19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70"/>
                          <pic:cNvPicPr>
                            <a:picLocks noChangeAspect="1"/>
                          </pic:cNvPicPr>
                        </pic:nvPicPr>
                        <pic:blipFill>
                          <a:blip r:embed="rId32"/>
                          <a:stretch>
                            <a:fillRect/>
                          </a:stretch>
                        </pic:blipFill>
                        <pic:spPr>
                          <a:xfrm>
                            <a:off x="0" y="0"/>
                            <a:ext cx="200025" cy="114300"/>
                          </a:xfrm>
                          <a:prstGeom prst="rect">
                            <a:avLst/>
                          </a:prstGeom>
                          <a:noFill/>
                          <a:ln>
                            <a:noFill/>
                          </a:ln>
                        </pic:spPr>
                      </pic:pic>
                    </a:graphicData>
                  </a:graphic>
                </wp:inline>
              </w:drawing>
            </w:r>
            <w:r>
              <w:drawing>
                <wp:inline distT="0" distB="0" distL="114300" distR="114300">
                  <wp:extent cx="1152525" cy="114300"/>
                  <wp:effectExtent l="0" t="0" r="9525" b="0"/>
                  <wp:docPr id="18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71"/>
                          <pic:cNvPicPr>
                            <a:picLocks noChangeAspect="1"/>
                          </pic:cNvPicPr>
                        </pic:nvPicPr>
                        <pic:blipFill>
                          <a:blip r:embed="rId33"/>
                          <a:stretch>
                            <a:fillRect/>
                          </a:stretch>
                        </pic:blipFill>
                        <pic:spPr>
                          <a:xfrm>
                            <a:off x="0" y="0"/>
                            <a:ext cx="1152525" cy="114300"/>
                          </a:xfrm>
                          <a:prstGeom prst="rect">
                            <a:avLst/>
                          </a:prstGeom>
                          <a:noFill/>
                          <a:ln>
                            <a:noFill/>
                          </a:ln>
                        </pic:spPr>
                      </pic:pic>
                    </a:graphicData>
                  </a:graphic>
                </wp:inline>
              </w:drawing>
            </w:r>
            <w:r>
              <w:t>15%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B.否</w:t>
            </w:r>
          </w:p>
        </w:tc>
        <w:tc>
          <w:tcPr>
            <w:shd w:val="clear" w:color="auto" w:fill="F9F9F9"/>
            <w:vAlign w:val="center"/>
          </w:tcPr>
          <w:p>
            <w:pPr>
              <w:jc w:val="center"/>
              <w:rPr>
                <w:rFonts w:hint="default" w:eastAsia="宋体"/>
                <w:lang w:val="en-US" w:eastAsia="zh-CN"/>
              </w:rPr>
            </w:pPr>
            <w:r>
              <w:rPr>
                <w:rFonts w:hint="eastAsia"/>
                <w:lang w:val="en-US" w:eastAsia="zh-CN"/>
              </w:rPr>
              <w:t>34</w:t>
            </w:r>
          </w:p>
        </w:tc>
        <w:tc>
          <w:tcPr>
            <w:shd w:val="clear" w:color="auto" w:fill="F9F9F9"/>
            <w:vAlign w:val="center"/>
          </w:tcPr>
          <w:p>
            <w:pPr>
              <w:jc w:val="left"/>
            </w:pPr>
            <w:r>
              <w:drawing>
                <wp:inline distT="0" distB="0" distL="114300" distR="114300">
                  <wp:extent cx="1143000" cy="114300"/>
                  <wp:effectExtent l="0" t="0" r="0" b="0"/>
                  <wp:docPr id="19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72"/>
                          <pic:cNvPicPr>
                            <a:picLocks noChangeAspect="1"/>
                          </pic:cNvPicPr>
                        </pic:nvPicPr>
                        <pic:blipFill>
                          <a:blip r:embed="rId34"/>
                          <a:stretch>
                            <a:fillRect/>
                          </a:stretch>
                        </pic:blipFill>
                        <pic:spPr>
                          <a:xfrm>
                            <a:off x="0" y="0"/>
                            <a:ext cx="1143000" cy="114300"/>
                          </a:xfrm>
                          <a:prstGeom prst="rect">
                            <a:avLst/>
                          </a:prstGeom>
                          <a:noFill/>
                          <a:ln>
                            <a:noFill/>
                          </a:ln>
                        </pic:spPr>
                      </pic:pic>
                    </a:graphicData>
                  </a:graphic>
                </wp:inline>
              </w:drawing>
            </w:r>
            <w:r>
              <w:drawing>
                <wp:inline distT="0" distB="0" distL="114300" distR="114300">
                  <wp:extent cx="209550" cy="114300"/>
                  <wp:effectExtent l="0" t="0" r="0" b="0"/>
                  <wp:docPr id="19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73"/>
                          <pic:cNvPicPr>
                            <a:picLocks noChangeAspect="1"/>
                          </pic:cNvPicPr>
                        </pic:nvPicPr>
                        <pic:blipFill>
                          <a:blip r:embed="rId35"/>
                          <a:stretch>
                            <a:fillRect/>
                          </a:stretch>
                        </pic:blipFill>
                        <pic:spPr>
                          <a:xfrm>
                            <a:off x="0" y="0"/>
                            <a:ext cx="209550" cy="114300"/>
                          </a:xfrm>
                          <a:prstGeom prst="rect">
                            <a:avLst/>
                          </a:prstGeom>
                          <a:noFill/>
                          <a:ln>
                            <a:noFill/>
                          </a:ln>
                        </pic:spPr>
                      </pic:pic>
                    </a:graphicData>
                  </a:graphic>
                </wp:inline>
              </w:drawing>
            </w:r>
            <w:r>
              <w:t>85%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rPr>
                <w:rFonts w:hint="eastAsia"/>
                <w:lang w:val="en-US" w:eastAsia="zh-CN"/>
              </w:rPr>
              <w:t>4</w:t>
            </w:r>
            <w:r>
              <w:t>0</w:t>
            </w:r>
          </w:p>
        </w:tc>
        <w:tc>
          <w:tcPr>
            <w:shd w:val="clear" w:color="auto" w:fill="E0E0E0"/>
            <w:vAlign w:val="center"/>
          </w:tcPr>
          <w:p>
            <w:pPr>
              <w:jc w:val="left"/>
            </w:pPr>
          </w:p>
        </w:tc>
      </w:tr>
    </w:tbl>
    <w:p/>
    <w:p/>
    <w:p>
      <w:pPr>
        <w:rPr>
          <w:b w:val="0"/>
          <w:color w:val="0066FF"/>
          <w:sz w:val="24"/>
        </w:rPr>
      </w:pPr>
      <w:r>
        <w:rPr>
          <w:rFonts w:hint="eastAsia"/>
          <w:b w:val="0"/>
          <w:color w:val="000000"/>
          <w:sz w:val="24"/>
          <w:lang w:val="en-US" w:eastAsia="zh-CN"/>
        </w:rPr>
        <w:t>2</w:t>
      </w:r>
      <w:r>
        <w:rPr>
          <w:b w:val="0"/>
          <w:color w:val="000000"/>
          <w:sz w:val="24"/>
        </w:rPr>
        <w:t>.请问您在2020年度是否享受困难离退休干部帮扶补贴？</w:t>
      </w:r>
    </w:p>
    <w:tbl>
      <w:tblPr>
        <w:tblStyle w:val="7"/>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021"/>
        <w:gridCol w:w="1013"/>
        <w:gridCol w:w="448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A.是</w:t>
            </w:r>
          </w:p>
        </w:tc>
        <w:tc>
          <w:tcPr>
            <w:shd w:val="clear" w:color="auto" w:fill="FFFFFF"/>
            <w:vAlign w:val="center"/>
          </w:tcPr>
          <w:p>
            <w:pPr>
              <w:jc w:val="center"/>
              <w:rPr>
                <w:rFonts w:hint="eastAsia" w:eastAsia="宋体"/>
                <w:lang w:eastAsia="zh-CN"/>
              </w:rPr>
            </w:pPr>
            <w:r>
              <w:rPr>
                <w:rFonts w:hint="eastAsia"/>
                <w:lang w:val="en-US" w:eastAsia="zh-CN"/>
              </w:rPr>
              <w:t>6</w:t>
            </w:r>
          </w:p>
        </w:tc>
        <w:tc>
          <w:tcPr>
            <w:shd w:val="clear" w:color="auto" w:fill="FFFFFF"/>
            <w:vAlign w:val="center"/>
          </w:tcPr>
          <w:p>
            <w:pPr>
              <w:jc w:val="left"/>
            </w:pPr>
            <w:r>
              <w:drawing>
                <wp:inline distT="0" distB="0" distL="114300" distR="114300">
                  <wp:extent cx="1352550" cy="114300"/>
                  <wp:effectExtent l="0" t="0" r="0" b="0"/>
                  <wp:docPr id="201"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74"/>
                          <pic:cNvPicPr>
                            <a:picLocks noChangeAspect="1"/>
                          </pic:cNvPicPr>
                        </pic:nvPicPr>
                        <pic:blipFill>
                          <a:blip r:embed="rId36"/>
                          <a:stretch>
                            <a:fillRect/>
                          </a:stretch>
                        </pic:blipFill>
                        <pic:spPr>
                          <a:xfrm>
                            <a:off x="0" y="0"/>
                            <a:ext cx="1352550" cy="11430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B.否</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202"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75"/>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rPr>
                <w:rFonts w:hint="eastAsia" w:eastAsia="宋体"/>
                <w:lang w:eastAsia="zh-CN"/>
              </w:rPr>
            </w:pPr>
            <w:r>
              <w:rPr>
                <w:rFonts w:hint="eastAsia"/>
                <w:lang w:val="en-US" w:eastAsia="zh-CN"/>
              </w:rPr>
              <w:t>6</w:t>
            </w:r>
          </w:p>
        </w:tc>
        <w:tc>
          <w:tcPr>
            <w:shd w:val="clear" w:color="auto" w:fill="E0E0E0"/>
            <w:vAlign w:val="center"/>
          </w:tcPr>
          <w:p>
            <w:pPr>
              <w:jc w:val="left"/>
            </w:pPr>
          </w:p>
        </w:tc>
      </w:tr>
    </w:tbl>
    <w:p/>
    <w:p/>
    <w:p>
      <w:pPr>
        <w:rPr>
          <w:b w:val="0"/>
          <w:color w:val="0066FF"/>
          <w:sz w:val="24"/>
        </w:rPr>
      </w:pPr>
      <w:r>
        <w:rPr>
          <w:rFonts w:hint="eastAsia"/>
          <w:b w:val="0"/>
          <w:color w:val="000000"/>
          <w:sz w:val="24"/>
          <w:lang w:val="en-US" w:eastAsia="zh-CN"/>
        </w:rPr>
        <w:t>3</w:t>
      </w:r>
      <w:r>
        <w:rPr>
          <w:b w:val="0"/>
          <w:color w:val="000000"/>
          <w:sz w:val="24"/>
        </w:rPr>
        <w:t xml:space="preserve">.您对县老干部局2020年度服务管理离退休干部工作的满意度？  </w:t>
      </w:r>
    </w:p>
    <w:tbl>
      <w:tblPr>
        <w:tblStyle w:val="7"/>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065"/>
        <w:gridCol w:w="1028"/>
        <w:gridCol w:w="442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A.非常满意</w:t>
            </w:r>
          </w:p>
        </w:tc>
        <w:tc>
          <w:tcPr>
            <w:shd w:val="clear" w:color="auto" w:fill="FFFFFF"/>
            <w:vAlign w:val="center"/>
          </w:tcPr>
          <w:p>
            <w:pPr>
              <w:jc w:val="center"/>
              <w:rPr>
                <w:rFonts w:hint="default" w:eastAsia="宋体"/>
                <w:lang w:val="en-US" w:eastAsia="zh-CN"/>
              </w:rPr>
            </w:pPr>
            <w:r>
              <w:rPr>
                <w:rFonts w:hint="eastAsia"/>
                <w:lang w:val="en-US" w:eastAsia="zh-CN"/>
              </w:rPr>
              <w:t>32</w:t>
            </w:r>
          </w:p>
        </w:tc>
        <w:tc>
          <w:tcPr>
            <w:shd w:val="clear" w:color="auto" w:fill="FFFFFF"/>
            <w:vAlign w:val="center"/>
          </w:tcPr>
          <w:p>
            <w:pPr>
              <w:jc w:val="left"/>
            </w:pPr>
            <w:r>
              <w:drawing>
                <wp:inline distT="0" distB="0" distL="114300" distR="114300">
                  <wp:extent cx="1076325" cy="114300"/>
                  <wp:effectExtent l="0" t="0" r="9525" b="0"/>
                  <wp:docPr id="203"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76"/>
                          <pic:cNvPicPr>
                            <a:picLocks noChangeAspect="1"/>
                          </pic:cNvPicPr>
                        </pic:nvPicPr>
                        <pic:blipFill>
                          <a:blip r:embed="rId37"/>
                          <a:stretch>
                            <a:fillRect/>
                          </a:stretch>
                        </pic:blipFill>
                        <pic:spPr>
                          <a:xfrm>
                            <a:off x="0" y="0"/>
                            <a:ext cx="1076325" cy="114300"/>
                          </a:xfrm>
                          <a:prstGeom prst="rect">
                            <a:avLst/>
                          </a:prstGeom>
                          <a:noFill/>
                          <a:ln>
                            <a:noFill/>
                          </a:ln>
                        </pic:spPr>
                      </pic:pic>
                    </a:graphicData>
                  </a:graphic>
                </wp:inline>
              </w:drawing>
            </w:r>
            <w:r>
              <w:drawing>
                <wp:inline distT="0" distB="0" distL="114300" distR="114300">
                  <wp:extent cx="276225" cy="114300"/>
                  <wp:effectExtent l="0" t="0" r="9525" b="0"/>
                  <wp:docPr id="204"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77"/>
                          <pic:cNvPicPr>
                            <a:picLocks noChangeAspect="1"/>
                          </pic:cNvPicPr>
                        </pic:nvPicPr>
                        <pic:blipFill>
                          <a:blip r:embed="rId38"/>
                          <a:stretch>
                            <a:fillRect/>
                          </a:stretch>
                        </pic:blipFill>
                        <pic:spPr>
                          <a:xfrm>
                            <a:off x="0" y="0"/>
                            <a:ext cx="276225" cy="114300"/>
                          </a:xfrm>
                          <a:prstGeom prst="rect">
                            <a:avLst/>
                          </a:prstGeom>
                          <a:noFill/>
                          <a:ln>
                            <a:noFill/>
                          </a:ln>
                        </pic:spPr>
                      </pic:pic>
                    </a:graphicData>
                  </a:graphic>
                </wp:inline>
              </w:drawing>
            </w:r>
            <w:r>
              <w:t>80%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B.满意</w:t>
            </w:r>
          </w:p>
        </w:tc>
        <w:tc>
          <w:tcPr>
            <w:shd w:val="clear" w:color="auto" w:fill="F9F9F9"/>
            <w:vAlign w:val="center"/>
          </w:tcPr>
          <w:p>
            <w:pPr>
              <w:jc w:val="center"/>
              <w:rPr>
                <w:rFonts w:hint="eastAsia" w:eastAsia="宋体"/>
                <w:lang w:eastAsia="zh-CN"/>
              </w:rPr>
            </w:pPr>
            <w:r>
              <w:rPr>
                <w:rFonts w:hint="eastAsia"/>
                <w:lang w:val="en-US" w:eastAsia="zh-CN"/>
              </w:rPr>
              <w:t>6</w:t>
            </w:r>
          </w:p>
        </w:tc>
        <w:tc>
          <w:tcPr>
            <w:shd w:val="clear" w:color="auto" w:fill="F9F9F9"/>
            <w:vAlign w:val="center"/>
          </w:tcPr>
          <w:p>
            <w:pPr>
              <w:jc w:val="left"/>
            </w:pPr>
            <w:r>
              <w:drawing>
                <wp:inline distT="0" distB="0" distL="114300" distR="114300">
                  <wp:extent cx="200025" cy="114300"/>
                  <wp:effectExtent l="0" t="0" r="9525" b="0"/>
                  <wp:docPr id="20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78"/>
                          <pic:cNvPicPr>
                            <a:picLocks noChangeAspect="1"/>
                          </pic:cNvPicPr>
                        </pic:nvPicPr>
                        <pic:blipFill>
                          <a:blip r:embed="rId32"/>
                          <a:stretch>
                            <a:fillRect/>
                          </a:stretch>
                        </pic:blipFill>
                        <pic:spPr>
                          <a:xfrm>
                            <a:off x="0" y="0"/>
                            <a:ext cx="200025" cy="114300"/>
                          </a:xfrm>
                          <a:prstGeom prst="rect">
                            <a:avLst/>
                          </a:prstGeom>
                          <a:noFill/>
                          <a:ln>
                            <a:noFill/>
                          </a:ln>
                        </pic:spPr>
                      </pic:pic>
                    </a:graphicData>
                  </a:graphic>
                </wp:inline>
              </w:drawing>
            </w:r>
            <w:r>
              <w:drawing>
                <wp:inline distT="0" distB="0" distL="114300" distR="114300">
                  <wp:extent cx="1152525" cy="114300"/>
                  <wp:effectExtent l="0" t="0" r="9525" b="0"/>
                  <wp:docPr id="20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79"/>
                          <pic:cNvPicPr>
                            <a:picLocks noChangeAspect="1"/>
                          </pic:cNvPicPr>
                        </pic:nvPicPr>
                        <pic:blipFill>
                          <a:blip r:embed="rId33"/>
                          <a:stretch>
                            <a:fillRect/>
                          </a:stretch>
                        </pic:blipFill>
                        <pic:spPr>
                          <a:xfrm>
                            <a:off x="0" y="0"/>
                            <a:ext cx="1152525" cy="114300"/>
                          </a:xfrm>
                          <a:prstGeom prst="rect">
                            <a:avLst/>
                          </a:prstGeom>
                          <a:noFill/>
                          <a:ln>
                            <a:noFill/>
                          </a:ln>
                        </pic:spPr>
                      </pic:pic>
                    </a:graphicData>
                  </a:graphic>
                </wp:inline>
              </w:drawing>
            </w:r>
            <w:r>
              <w:t>15%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C.一般</w:t>
            </w:r>
          </w:p>
        </w:tc>
        <w:tc>
          <w:tcPr>
            <w:shd w:val="clear" w:color="auto" w:fill="FFFFFF"/>
            <w:vAlign w:val="center"/>
          </w:tcPr>
          <w:p>
            <w:pPr>
              <w:jc w:val="center"/>
              <w:rPr>
                <w:rFonts w:hint="eastAsia" w:eastAsia="宋体"/>
                <w:lang w:eastAsia="zh-CN"/>
              </w:rPr>
            </w:pPr>
            <w:r>
              <w:rPr>
                <w:rFonts w:hint="eastAsia"/>
                <w:lang w:val="en-US" w:eastAsia="zh-CN"/>
              </w:rPr>
              <w:t>2</w:t>
            </w:r>
          </w:p>
        </w:tc>
        <w:tc>
          <w:tcPr>
            <w:shd w:val="clear" w:color="auto" w:fill="FFFFFF"/>
            <w:vAlign w:val="center"/>
          </w:tcPr>
          <w:p>
            <w:pPr>
              <w:jc w:val="left"/>
            </w:pPr>
            <w:r>
              <w:drawing>
                <wp:inline distT="0" distB="0" distL="114300" distR="114300">
                  <wp:extent cx="66675" cy="114300"/>
                  <wp:effectExtent l="0" t="0" r="9525" b="0"/>
                  <wp:docPr id="214"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80"/>
                          <pic:cNvPicPr>
                            <a:picLocks noChangeAspect="1"/>
                          </pic:cNvPicPr>
                        </pic:nvPicPr>
                        <pic:blipFill>
                          <a:blip r:embed="rId39"/>
                          <a:stretch>
                            <a:fillRect/>
                          </a:stretch>
                        </pic:blipFill>
                        <pic:spPr>
                          <a:xfrm>
                            <a:off x="0" y="0"/>
                            <a:ext cx="66675" cy="114300"/>
                          </a:xfrm>
                          <a:prstGeom prst="rect">
                            <a:avLst/>
                          </a:prstGeom>
                          <a:noFill/>
                          <a:ln>
                            <a:noFill/>
                          </a:ln>
                        </pic:spPr>
                      </pic:pic>
                    </a:graphicData>
                  </a:graphic>
                </wp:inline>
              </w:drawing>
            </w:r>
            <w:r>
              <w:drawing>
                <wp:inline distT="0" distB="0" distL="114300" distR="114300">
                  <wp:extent cx="1285875" cy="114300"/>
                  <wp:effectExtent l="0" t="0" r="9525" b="0"/>
                  <wp:docPr id="21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81"/>
                          <pic:cNvPicPr>
                            <a:picLocks noChangeAspect="1"/>
                          </pic:cNvPicPr>
                        </pic:nvPicPr>
                        <pic:blipFill>
                          <a:blip r:embed="rId40"/>
                          <a:stretch>
                            <a:fillRect/>
                          </a:stretch>
                        </pic:blipFill>
                        <pic:spPr>
                          <a:xfrm>
                            <a:off x="0" y="0"/>
                            <a:ext cx="1285875" cy="114300"/>
                          </a:xfrm>
                          <a:prstGeom prst="rect">
                            <a:avLst/>
                          </a:prstGeom>
                          <a:noFill/>
                          <a:ln>
                            <a:noFill/>
                          </a:ln>
                        </pic:spPr>
                      </pic:pic>
                    </a:graphicData>
                  </a:graphic>
                </wp:inline>
              </w:drawing>
            </w:r>
            <w:r>
              <w:t>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D.不满意</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21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82"/>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E.非常不满意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21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83"/>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rPr>
                <w:rFonts w:hint="eastAsia"/>
                <w:lang w:val="en-US" w:eastAsia="zh-CN"/>
              </w:rPr>
              <w:t>4</w:t>
            </w:r>
            <w:r>
              <w:t>0</w:t>
            </w:r>
          </w:p>
        </w:tc>
        <w:tc>
          <w:tcPr>
            <w:shd w:val="clear" w:color="auto" w:fill="E0E0E0"/>
            <w:vAlign w:val="center"/>
          </w:tcPr>
          <w:p>
            <w:pPr>
              <w:jc w:val="left"/>
            </w:pPr>
          </w:p>
        </w:tc>
      </w:tr>
    </w:tbl>
    <w:p/>
    <w:p/>
    <w:p>
      <w:pPr>
        <w:rPr>
          <w:b w:val="0"/>
          <w:color w:val="0066FF"/>
          <w:sz w:val="24"/>
        </w:rPr>
      </w:pPr>
      <w:r>
        <w:rPr>
          <w:rFonts w:hint="eastAsia"/>
          <w:b w:val="0"/>
          <w:color w:val="000000"/>
          <w:sz w:val="24"/>
          <w:lang w:val="en-US" w:eastAsia="zh-CN"/>
        </w:rPr>
        <w:t>4</w:t>
      </w:r>
      <w:r>
        <w:rPr>
          <w:b w:val="0"/>
          <w:color w:val="000000"/>
          <w:sz w:val="24"/>
        </w:rPr>
        <w:t xml:space="preserve">.请选择您所参加的活动组织？  </w:t>
      </w:r>
    </w:p>
    <w:tbl>
      <w:tblPr>
        <w:tblStyle w:val="7"/>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065"/>
        <w:gridCol w:w="1028"/>
        <w:gridCol w:w="442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A.老年大学</w:t>
            </w:r>
          </w:p>
        </w:tc>
        <w:tc>
          <w:tcPr>
            <w:shd w:val="clear" w:color="auto" w:fill="FFFFFF"/>
            <w:vAlign w:val="center"/>
          </w:tcPr>
          <w:p>
            <w:pPr>
              <w:jc w:val="center"/>
            </w:pPr>
            <w:r>
              <w:rPr>
                <w:rFonts w:hint="eastAsia"/>
                <w:lang w:val="en-US" w:eastAsia="zh-CN"/>
              </w:rPr>
              <w:t>4</w:t>
            </w:r>
            <w:r>
              <w:t>0</w:t>
            </w:r>
          </w:p>
        </w:tc>
        <w:tc>
          <w:tcPr>
            <w:shd w:val="clear" w:color="auto" w:fill="FFFFFF"/>
            <w:vAlign w:val="center"/>
          </w:tcPr>
          <w:p>
            <w:pPr>
              <w:jc w:val="left"/>
            </w:pPr>
            <w:r>
              <w:drawing>
                <wp:inline distT="0" distB="0" distL="114300" distR="114300">
                  <wp:extent cx="676275" cy="114300"/>
                  <wp:effectExtent l="0" t="0" r="9525" b="0"/>
                  <wp:docPr id="21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84"/>
                          <pic:cNvPicPr>
                            <a:picLocks noChangeAspect="1"/>
                          </pic:cNvPicPr>
                        </pic:nvPicPr>
                        <pic:blipFill>
                          <a:blip r:embed="rId16"/>
                          <a:stretch>
                            <a:fillRect/>
                          </a:stretch>
                        </pic:blipFill>
                        <pic:spPr>
                          <a:xfrm>
                            <a:off x="0" y="0"/>
                            <a:ext cx="676275" cy="114300"/>
                          </a:xfrm>
                          <a:prstGeom prst="rect">
                            <a:avLst/>
                          </a:prstGeom>
                          <a:noFill/>
                          <a:ln>
                            <a:noFill/>
                          </a:ln>
                        </pic:spPr>
                      </pic:pic>
                    </a:graphicData>
                  </a:graphic>
                </wp:inline>
              </w:drawing>
            </w:r>
            <w:r>
              <w:drawing>
                <wp:inline distT="0" distB="0" distL="114300" distR="114300">
                  <wp:extent cx="676275" cy="114300"/>
                  <wp:effectExtent l="0" t="0" r="9525" b="0"/>
                  <wp:docPr id="21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85"/>
                          <pic:cNvPicPr>
                            <a:picLocks noChangeAspect="1"/>
                          </pic:cNvPicPr>
                        </pic:nvPicPr>
                        <pic:blipFill>
                          <a:blip r:embed="rId17"/>
                          <a:stretch>
                            <a:fillRect/>
                          </a:stretch>
                        </pic:blipFill>
                        <pic:spPr>
                          <a:xfrm>
                            <a:off x="0" y="0"/>
                            <a:ext cx="676275" cy="114300"/>
                          </a:xfrm>
                          <a:prstGeom prst="rect">
                            <a:avLst/>
                          </a:prstGeom>
                          <a:noFill/>
                          <a:ln>
                            <a:noFill/>
                          </a:ln>
                        </pic:spPr>
                      </pic:pic>
                    </a:graphicData>
                  </a:graphic>
                </wp:inline>
              </w:drawing>
            </w:r>
            <w:r>
              <w:t>50%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B.老年协会</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21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86"/>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C.老干部活动中心</w:t>
            </w:r>
          </w:p>
        </w:tc>
        <w:tc>
          <w:tcPr>
            <w:shd w:val="clear" w:color="auto" w:fill="FFFFFF"/>
            <w:vAlign w:val="center"/>
          </w:tcPr>
          <w:p>
            <w:pPr>
              <w:jc w:val="center"/>
            </w:pPr>
            <w:r>
              <w:rPr>
                <w:rFonts w:hint="eastAsia"/>
                <w:lang w:val="en-US" w:eastAsia="zh-CN"/>
              </w:rPr>
              <w:t>4</w:t>
            </w:r>
            <w:r>
              <w:t>0</w:t>
            </w:r>
          </w:p>
        </w:tc>
        <w:tc>
          <w:tcPr>
            <w:shd w:val="clear" w:color="auto" w:fill="FFFFFF"/>
            <w:vAlign w:val="center"/>
          </w:tcPr>
          <w:p>
            <w:pPr>
              <w:jc w:val="left"/>
            </w:pPr>
            <w:r>
              <w:drawing>
                <wp:inline distT="0" distB="0" distL="114300" distR="114300">
                  <wp:extent cx="676275" cy="114300"/>
                  <wp:effectExtent l="0" t="0" r="9525" b="0"/>
                  <wp:docPr id="20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87"/>
                          <pic:cNvPicPr>
                            <a:picLocks noChangeAspect="1"/>
                          </pic:cNvPicPr>
                        </pic:nvPicPr>
                        <pic:blipFill>
                          <a:blip r:embed="rId16"/>
                          <a:stretch>
                            <a:fillRect/>
                          </a:stretch>
                        </pic:blipFill>
                        <pic:spPr>
                          <a:xfrm>
                            <a:off x="0" y="0"/>
                            <a:ext cx="676275" cy="114300"/>
                          </a:xfrm>
                          <a:prstGeom prst="rect">
                            <a:avLst/>
                          </a:prstGeom>
                          <a:noFill/>
                          <a:ln>
                            <a:noFill/>
                          </a:ln>
                        </pic:spPr>
                      </pic:pic>
                    </a:graphicData>
                  </a:graphic>
                </wp:inline>
              </w:drawing>
            </w:r>
            <w:r>
              <w:drawing>
                <wp:inline distT="0" distB="0" distL="114300" distR="114300">
                  <wp:extent cx="676275" cy="114300"/>
                  <wp:effectExtent l="0" t="0" r="9525" b="0"/>
                  <wp:docPr id="21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88"/>
                          <pic:cNvPicPr>
                            <a:picLocks noChangeAspect="1"/>
                          </pic:cNvPicPr>
                        </pic:nvPicPr>
                        <pic:blipFill>
                          <a:blip r:embed="rId17"/>
                          <a:stretch>
                            <a:fillRect/>
                          </a:stretch>
                        </pic:blipFill>
                        <pic:spPr>
                          <a:xfrm>
                            <a:off x="0" y="0"/>
                            <a:ext cx="676275" cy="114300"/>
                          </a:xfrm>
                          <a:prstGeom prst="rect">
                            <a:avLst/>
                          </a:prstGeom>
                          <a:noFill/>
                          <a:ln>
                            <a:noFill/>
                          </a:ln>
                        </pic:spPr>
                      </pic:pic>
                    </a:graphicData>
                  </a:graphic>
                </wp:inline>
              </w:drawing>
            </w:r>
            <w:r>
              <w:t>50%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rPr>
                <w:rFonts w:hint="eastAsia"/>
                <w:lang w:val="en-US" w:eastAsia="zh-CN"/>
              </w:rPr>
              <w:t>8</w:t>
            </w:r>
            <w:r>
              <w:t>0</w:t>
            </w:r>
          </w:p>
        </w:tc>
        <w:tc>
          <w:tcPr>
            <w:shd w:val="clear" w:color="auto" w:fill="E0E0E0"/>
            <w:vAlign w:val="center"/>
          </w:tcPr>
          <w:p>
            <w:pPr>
              <w:jc w:val="left"/>
            </w:pPr>
          </w:p>
        </w:tc>
      </w:tr>
    </w:tbl>
    <w:p/>
    <w:p/>
    <w:p>
      <w:pPr>
        <w:rPr>
          <w:b w:val="0"/>
          <w:color w:val="0066FF"/>
          <w:sz w:val="24"/>
        </w:rPr>
      </w:pPr>
      <w:r>
        <w:rPr>
          <w:rFonts w:hint="eastAsia"/>
          <w:b w:val="0"/>
          <w:color w:val="000000"/>
          <w:sz w:val="24"/>
          <w:lang w:val="en-US" w:eastAsia="zh-CN"/>
        </w:rPr>
        <w:t>5</w:t>
      </w:r>
      <w:r>
        <w:rPr>
          <w:b w:val="0"/>
          <w:color w:val="000000"/>
          <w:sz w:val="24"/>
        </w:rPr>
        <w:t xml:space="preserve">.您对您所参加的活动组织2020年工作的满意度？ </w:t>
      </w:r>
    </w:p>
    <w:tbl>
      <w:tblPr>
        <w:tblStyle w:val="7"/>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2991"/>
        <w:gridCol w:w="1004"/>
        <w:gridCol w:w="452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A.非常满意</w:t>
            </w:r>
          </w:p>
        </w:tc>
        <w:tc>
          <w:tcPr>
            <w:shd w:val="clear" w:color="auto" w:fill="FFFFFF"/>
            <w:vAlign w:val="center"/>
          </w:tcPr>
          <w:p>
            <w:pPr>
              <w:jc w:val="center"/>
            </w:pPr>
            <w:r>
              <w:t>20</w:t>
            </w:r>
          </w:p>
        </w:tc>
        <w:tc>
          <w:tcPr>
            <w:shd w:val="clear" w:color="auto" w:fill="FFFFFF"/>
            <w:vAlign w:val="center"/>
          </w:tcPr>
          <w:p>
            <w:pPr>
              <w:jc w:val="left"/>
            </w:pPr>
            <w:r>
              <w:drawing>
                <wp:inline distT="0" distB="0" distL="114300" distR="114300">
                  <wp:extent cx="676275" cy="114300"/>
                  <wp:effectExtent l="0" t="0" r="9525" b="0"/>
                  <wp:docPr id="208"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89"/>
                          <pic:cNvPicPr>
                            <a:picLocks noChangeAspect="1"/>
                          </pic:cNvPicPr>
                        </pic:nvPicPr>
                        <pic:blipFill>
                          <a:blip r:embed="rId16"/>
                          <a:stretch>
                            <a:fillRect/>
                          </a:stretch>
                        </pic:blipFill>
                        <pic:spPr>
                          <a:xfrm>
                            <a:off x="0" y="0"/>
                            <a:ext cx="676275" cy="114300"/>
                          </a:xfrm>
                          <a:prstGeom prst="rect">
                            <a:avLst/>
                          </a:prstGeom>
                          <a:noFill/>
                          <a:ln>
                            <a:noFill/>
                          </a:ln>
                        </pic:spPr>
                      </pic:pic>
                    </a:graphicData>
                  </a:graphic>
                </wp:inline>
              </w:drawing>
            </w:r>
            <w:r>
              <w:drawing>
                <wp:inline distT="0" distB="0" distL="114300" distR="114300">
                  <wp:extent cx="676275" cy="114300"/>
                  <wp:effectExtent l="0" t="0" r="9525" b="0"/>
                  <wp:docPr id="209"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90"/>
                          <pic:cNvPicPr>
                            <a:picLocks noChangeAspect="1"/>
                          </pic:cNvPicPr>
                        </pic:nvPicPr>
                        <pic:blipFill>
                          <a:blip r:embed="rId17"/>
                          <a:stretch>
                            <a:fillRect/>
                          </a:stretch>
                        </pic:blipFill>
                        <pic:spPr>
                          <a:xfrm>
                            <a:off x="0" y="0"/>
                            <a:ext cx="676275" cy="114300"/>
                          </a:xfrm>
                          <a:prstGeom prst="rect">
                            <a:avLst/>
                          </a:prstGeom>
                          <a:noFill/>
                          <a:ln>
                            <a:noFill/>
                          </a:ln>
                        </pic:spPr>
                      </pic:pic>
                    </a:graphicData>
                  </a:graphic>
                </wp:inline>
              </w:drawing>
            </w:r>
            <w:r>
              <w:t>50%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B.满意</w:t>
            </w:r>
          </w:p>
        </w:tc>
        <w:tc>
          <w:tcPr>
            <w:shd w:val="clear" w:color="auto" w:fill="F9F9F9"/>
            <w:vAlign w:val="center"/>
          </w:tcPr>
          <w:p>
            <w:pPr>
              <w:jc w:val="center"/>
            </w:pPr>
            <w:r>
              <w:t>17</w:t>
            </w:r>
          </w:p>
        </w:tc>
        <w:tc>
          <w:tcPr>
            <w:shd w:val="clear" w:color="auto" w:fill="F9F9F9"/>
            <w:vAlign w:val="center"/>
          </w:tcPr>
          <w:p>
            <w:pPr>
              <w:jc w:val="left"/>
            </w:pPr>
            <w:r>
              <w:drawing>
                <wp:inline distT="0" distB="0" distL="114300" distR="114300">
                  <wp:extent cx="571500" cy="114300"/>
                  <wp:effectExtent l="0" t="0" r="0" b="0"/>
                  <wp:docPr id="21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91"/>
                          <pic:cNvPicPr>
                            <a:picLocks noChangeAspect="1"/>
                          </pic:cNvPicPr>
                        </pic:nvPicPr>
                        <pic:blipFill>
                          <a:blip r:embed="rId18"/>
                          <a:stretch>
                            <a:fillRect/>
                          </a:stretch>
                        </pic:blipFill>
                        <pic:spPr>
                          <a:xfrm>
                            <a:off x="0" y="0"/>
                            <a:ext cx="571500" cy="114300"/>
                          </a:xfrm>
                          <a:prstGeom prst="rect">
                            <a:avLst/>
                          </a:prstGeom>
                          <a:noFill/>
                          <a:ln>
                            <a:noFill/>
                          </a:ln>
                        </pic:spPr>
                      </pic:pic>
                    </a:graphicData>
                  </a:graphic>
                </wp:inline>
              </w:drawing>
            </w:r>
            <w:r>
              <w:drawing>
                <wp:inline distT="0" distB="0" distL="114300" distR="114300">
                  <wp:extent cx="781050" cy="114300"/>
                  <wp:effectExtent l="0" t="0" r="0" b="0"/>
                  <wp:docPr id="218"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92"/>
                          <pic:cNvPicPr>
                            <a:picLocks noChangeAspect="1"/>
                          </pic:cNvPicPr>
                        </pic:nvPicPr>
                        <pic:blipFill>
                          <a:blip r:embed="rId19"/>
                          <a:stretch>
                            <a:fillRect/>
                          </a:stretch>
                        </pic:blipFill>
                        <pic:spPr>
                          <a:xfrm>
                            <a:off x="0" y="0"/>
                            <a:ext cx="781050" cy="114300"/>
                          </a:xfrm>
                          <a:prstGeom prst="rect">
                            <a:avLst/>
                          </a:prstGeom>
                          <a:noFill/>
                          <a:ln>
                            <a:noFill/>
                          </a:ln>
                        </pic:spPr>
                      </pic:pic>
                    </a:graphicData>
                  </a:graphic>
                </wp:inline>
              </w:drawing>
            </w:r>
            <w:r>
              <w:t>42.5%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C.一般</w:t>
            </w:r>
          </w:p>
        </w:tc>
        <w:tc>
          <w:tcPr>
            <w:shd w:val="clear" w:color="auto" w:fill="FFFFFF"/>
            <w:vAlign w:val="center"/>
          </w:tcPr>
          <w:p>
            <w:pPr>
              <w:jc w:val="center"/>
            </w:pPr>
            <w:r>
              <w:t>3</w:t>
            </w:r>
          </w:p>
        </w:tc>
        <w:tc>
          <w:tcPr>
            <w:shd w:val="clear" w:color="auto" w:fill="FFFFFF"/>
            <w:vAlign w:val="center"/>
          </w:tcPr>
          <w:p>
            <w:pPr>
              <w:jc w:val="left"/>
            </w:pPr>
            <w:r>
              <w:drawing>
                <wp:inline distT="0" distB="0" distL="114300" distR="114300">
                  <wp:extent cx="95250" cy="114300"/>
                  <wp:effectExtent l="0" t="0" r="0" b="0"/>
                  <wp:docPr id="22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93"/>
                          <pic:cNvPicPr>
                            <a:picLocks noChangeAspect="1"/>
                          </pic:cNvPicPr>
                        </pic:nvPicPr>
                        <pic:blipFill>
                          <a:blip r:embed="rId20"/>
                          <a:stretch>
                            <a:fillRect/>
                          </a:stretch>
                        </pic:blipFill>
                        <pic:spPr>
                          <a:xfrm>
                            <a:off x="0" y="0"/>
                            <a:ext cx="95250" cy="114300"/>
                          </a:xfrm>
                          <a:prstGeom prst="rect">
                            <a:avLst/>
                          </a:prstGeom>
                          <a:noFill/>
                          <a:ln>
                            <a:noFill/>
                          </a:ln>
                        </pic:spPr>
                      </pic:pic>
                    </a:graphicData>
                  </a:graphic>
                </wp:inline>
              </w:drawing>
            </w:r>
            <w:r>
              <w:drawing>
                <wp:inline distT="0" distB="0" distL="114300" distR="114300">
                  <wp:extent cx="1257300" cy="114300"/>
                  <wp:effectExtent l="0" t="0" r="0" b="0"/>
                  <wp:docPr id="22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94"/>
                          <pic:cNvPicPr>
                            <a:picLocks noChangeAspect="1"/>
                          </pic:cNvPicPr>
                        </pic:nvPicPr>
                        <pic:blipFill>
                          <a:blip r:embed="rId21"/>
                          <a:stretch>
                            <a:fillRect/>
                          </a:stretch>
                        </pic:blipFill>
                        <pic:spPr>
                          <a:xfrm>
                            <a:off x="0" y="0"/>
                            <a:ext cx="1257300" cy="114300"/>
                          </a:xfrm>
                          <a:prstGeom prst="rect">
                            <a:avLst/>
                          </a:prstGeom>
                          <a:noFill/>
                          <a:ln>
                            <a:noFill/>
                          </a:ln>
                        </pic:spPr>
                      </pic:pic>
                    </a:graphicData>
                  </a:graphic>
                </wp:inline>
              </w:drawing>
            </w:r>
            <w:r>
              <w:t>7.5%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D.不满意</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221"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95"/>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E.非常不满意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222"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96"/>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40</w:t>
            </w:r>
          </w:p>
        </w:tc>
        <w:tc>
          <w:tcPr>
            <w:shd w:val="clear" w:color="auto" w:fill="E0E0E0"/>
            <w:vAlign w:val="center"/>
          </w:tcPr>
          <w:p>
            <w:pPr>
              <w:jc w:val="left"/>
            </w:pPr>
          </w:p>
        </w:tc>
      </w:tr>
    </w:tbl>
    <w:p/>
    <w:p>
      <w:pPr>
        <w:rPr>
          <w:b w:val="0"/>
          <w:color w:val="0066FF"/>
          <w:sz w:val="24"/>
        </w:rPr>
      </w:pPr>
      <w:r>
        <w:rPr>
          <w:rFonts w:hint="eastAsia"/>
          <w:b w:val="0"/>
          <w:color w:val="000000"/>
          <w:sz w:val="24"/>
          <w:lang w:val="en-US" w:eastAsia="zh-CN"/>
        </w:rPr>
        <w:t>6</w:t>
      </w:r>
      <w:r>
        <w:rPr>
          <w:b w:val="0"/>
          <w:color w:val="000000"/>
          <w:sz w:val="24"/>
        </w:rPr>
        <w:t xml:space="preserve">.您对临猗县老干部局整体的满意度？ </w:t>
      </w:r>
    </w:p>
    <w:tbl>
      <w:tblPr>
        <w:tblStyle w:val="7"/>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2991"/>
        <w:gridCol w:w="1004"/>
        <w:gridCol w:w="452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center"/>
            </w:pPr>
            <w:r>
              <w:t>选项</w:t>
            </w:r>
          </w:p>
        </w:tc>
        <w:tc>
          <w:tcPr>
            <w:shd w:val="clear" w:color="auto" w:fill="E0E0E0"/>
            <w:vAlign w:val="center"/>
          </w:tcPr>
          <w:p>
            <w:pPr>
              <w:jc w:val="center"/>
            </w:pPr>
            <w:r>
              <w:t>小计</w:t>
            </w:r>
          </w:p>
        </w:tc>
        <w:tc>
          <w:tcPr>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A.非常满意</w:t>
            </w:r>
          </w:p>
        </w:tc>
        <w:tc>
          <w:tcPr>
            <w:shd w:val="clear" w:color="auto" w:fill="FFFFFF"/>
            <w:vAlign w:val="center"/>
          </w:tcPr>
          <w:p>
            <w:pPr>
              <w:jc w:val="center"/>
            </w:pPr>
            <w:r>
              <w:t>18</w:t>
            </w:r>
          </w:p>
        </w:tc>
        <w:tc>
          <w:tcPr>
            <w:shd w:val="clear" w:color="auto" w:fill="FFFFFF"/>
            <w:vAlign w:val="center"/>
          </w:tcPr>
          <w:p>
            <w:pPr>
              <w:jc w:val="left"/>
            </w:pPr>
            <w:r>
              <w:drawing>
                <wp:inline distT="0" distB="0" distL="114300" distR="114300">
                  <wp:extent cx="600075" cy="114300"/>
                  <wp:effectExtent l="0" t="0" r="9525" b="0"/>
                  <wp:docPr id="200"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97"/>
                          <pic:cNvPicPr>
                            <a:picLocks noChangeAspect="1"/>
                          </pic:cNvPicPr>
                        </pic:nvPicPr>
                        <pic:blipFill>
                          <a:blip r:embed="rId9"/>
                          <a:stretch>
                            <a:fillRect/>
                          </a:stretch>
                        </pic:blipFill>
                        <pic:spPr>
                          <a:xfrm>
                            <a:off x="0" y="0"/>
                            <a:ext cx="600075" cy="114300"/>
                          </a:xfrm>
                          <a:prstGeom prst="rect">
                            <a:avLst/>
                          </a:prstGeom>
                          <a:noFill/>
                          <a:ln>
                            <a:noFill/>
                          </a:ln>
                        </pic:spPr>
                      </pic:pic>
                    </a:graphicData>
                  </a:graphic>
                </wp:inline>
              </w:drawing>
            </w:r>
            <w:r>
              <w:drawing>
                <wp:inline distT="0" distB="0" distL="114300" distR="114300">
                  <wp:extent cx="752475" cy="114300"/>
                  <wp:effectExtent l="0" t="0" r="9525" b="0"/>
                  <wp:docPr id="197"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98"/>
                          <pic:cNvPicPr>
                            <a:picLocks noChangeAspect="1"/>
                          </pic:cNvPicPr>
                        </pic:nvPicPr>
                        <pic:blipFill>
                          <a:blip r:embed="rId10"/>
                          <a:stretch>
                            <a:fillRect/>
                          </a:stretch>
                        </pic:blipFill>
                        <pic:spPr>
                          <a:xfrm>
                            <a:off x="0" y="0"/>
                            <a:ext cx="752475" cy="114300"/>
                          </a:xfrm>
                          <a:prstGeom prst="rect">
                            <a:avLst/>
                          </a:prstGeom>
                          <a:noFill/>
                          <a:ln>
                            <a:noFill/>
                          </a:ln>
                        </pic:spPr>
                      </pic:pic>
                    </a:graphicData>
                  </a:graphic>
                </wp:inline>
              </w:drawing>
            </w:r>
            <w:r>
              <w:t>45%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B.满意</w:t>
            </w:r>
          </w:p>
        </w:tc>
        <w:tc>
          <w:tcPr>
            <w:shd w:val="clear" w:color="auto" w:fill="F9F9F9"/>
            <w:vAlign w:val="center"/>
          </w:tcPr>
          <w:p>
            <w:pPr>
              <w:jc w:val="center"/>
            </w:pPr>
            <w:r>
              <w:t>21</w:t>
            </w:r>
          </w:p>
        </w:tc>
        <w:tc>
          <w:tcPr>
            <w:shd w:val="clear" w:color="auto" w:fill="F9F9F9"/>
            <w:vAlign w:val="center"/>
          </w:tcPr>
          <w:p>
            <w:pPr>
              <w:jc w:val="left"/>
            </w:pPr>
            <w:r>
              <w:drawing>
                <wp:inline distT="0" distB="0" distL="114300" distR="114300">
                  <wp:extent cx="704850" cy="114300"/>
                  <wp:effectExtent l="0" t="0" r="0" b="0"/>
                  <wp:docPr id="198"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99"/>
                          <pic:cNvPicPr>
                            <a:picLocks noChangeAspect="1"/>
                          </pic:cNvPicPr>
                        </pic:nvPicPr>
                        <pic:blipFill>
                          <a:blip r:embed="rId11"/>
                          <a:stretch>
                            <a:fillRect/>
                          </a:stretch>
                        </pic:blipFill>
                        <pic:spPr>
                          <a:xfrm>
                            <a:off x="0" y="0"/>
                            <a:ext cx="704850" cy="114300"/>
                          </a:xfrm>
                          <a:prstGeom prst="rect">
                            <a:avLst/>
                          </a:prstGeom>
                          <a:noFill/>
                          <a:ln>
                            <a:noFill/>
                          </a:ln>
                        </pic:spPr>
                      </pic:pic>
                    </a:graphicData>
                  </a:graphic>
                </wp:inline>
              </w:drawing>
            </w:r>
            <w:r>
              <w:drawing>
                <wp:inline distT="0" distB="0" distL="114300" distR="114300">
                  <wp:extent cx="647700" cy="114300"/>
                  <wp:effectExtent l="0" t="0" r="0" b="0"/>
                  <wp:docPr id="19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00"/>
                          <pic:cNvPicPr>
                            <a:picLocks noChangeAspect="1"/>
                          </pic:cNvPicPr>
                        </pic:nvPicPr>
                        <pic:blipFill>
                          <a:blip r:embed="rId12"/>
                          <a:stretch>
                            <a:fillRect/>
                          </a:stretch>
                        </pic:blipFill>
                        <pic:spPr>
                          <a:xfrm>
                            <a:off x="0" y="0"/>
                            <a:ext cx="647700" cy="114300"/>
                          </a:xfrm>
                          <a:prstGeom prst="rect">
                            <a:avLst/>
                          </a:prstGeom>
                          <a:noFill/>
                          <a:ln>
                            <a:noFill/>
                          </a:ln>
                        </pic:spPr>
                      </pic:pic>
                    </a:graphicData>
                  </a:graphic>
                </wp:inline>
              </w:drawing>
            </w:r>
            <w:r>
              <w:t>52.5%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C.一般</w:t>
            </w:r>
          </w:p>
        </w:tc>
        <w:tc>
          <w:tcPr>
            <w:shd w:val="clear" w:color="auto" w:fill="FFFFFF"/>
            <w:vAlign w:val="center"/>
          </w:tcPr>
          <w:p>
            <w:pPr>
              <w:jc w:val="center"/>
            </w:pPr>
            <w:r>
              <w:t>1</w:t>
            </w:r>
          </w:p>
        </w:tc>
        <w:tc>
          <w:tcPr>
            <w:shd w:val="clear" w:color="auto" w:fill="FFFFFF"/>
            <w:vAlign w:val="center"/>
          </w:tcPr>
          <w:p>
            <w:pPr>
              <w:jc w:val="left"/>
            </w:pPr>
            <w:r>
              <w:drawing>
                <wp:inline distT="0" distB="0" distL="114300" distR="114300">
                  <wp:extent cx="28575" cy="114300"/>
                  <wp:effectExtent l="0" t="0" r="9525" b="0"/>
                  <wp:docPr id="19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01"/>
                          <pic:cNvPicPr>
                            <a:picLocks noChangeAspect="1"/>
                          </pic:cNvPicPr>
                        </pic:nvPicPr>
                        <pic:blipFill>
                          <a:blip r:embed="rId13"/>
                          <a:stretch>
                            <a:fillRect/>
                          </a:stretch>
                        </pic:blipFill>
                        <pic:spPr>
                          <a:xfrm>
                            <a:off x="0" y="0"/>
                            <a:ext cx="28575" cy="114300"/>
                          </a:xfrm>
                          <a:prstGeom prst="rect">
                            <a:avLst/>
                          </a:prstGeom>
                          <a:noFill/>
                          <a:ln>
                            <a:noFill/>
                          </a:ln>
                        </pic:spPr>
                      </pic:pic>
                    </a:graphicData>
                  </a:graphic>
                </wp:inline>
              </w:drawing>
            </w:r>
            <w:r>
              <w:drawing>
                <wp:inline distT="0" distB="0" distL="114300" distR="114300">
                  <wp:extent cx="1323975" cy="114300"/>
                  <wp:effectExtent l="0" t="0" r="9525" b="0"/>
                  <wp:docPr id="194"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02"/>
                          <pic:cNvPicPr>
                            <a:picLocks noChangeAspect="1"/>
                          </pic:cNvPicPr>
                        </pic:nvPicPr>
                        <pic:blipFill>
                          <a:blip r:embed="rId14"/>
                          <a:stretch>
                            <a:fillRect/>
                          </a:stretch>
                        </pic:blipFill>
                        <pic:spPr>
                          <a:xfrm>
                            <a:off x="0" y="0"/>
                            <a:ext cx="1323975" cy="114300"/>
                          </a:xfrm>
                          <a:prstGeom prst="rect">
                            <a:avLst/>
                          </a:prstGeom>
                          <a:noFill/>
                          <a:ln>
                            <a:noFill/>
                          </a:ln>
                        </pic:spPr>
                      </pic:pic>
                    </a:graphicData>
                  </a:graphic>
                </wp:inline>
              </w:drawing>
            </w:r>
            <w:r>
              <w:t>2.5%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jc w:val="left"/>
            </w:pPr>
            <w:r>
              <w:t>D.不满意</w:t>
            </w:r>
          </w:p>
        </w:tc>
        <w:tc>
          <w:tcPr>
            <w:shd w:val="clear" w:color="auto" w:fill="F9F9F9"/>
            <w:vAlign w:val="center"/>
          </w:tcPr>
          <w:p>
            <w:pPr>
              <w:jc w:val="center"/>
            </w:pPr>
            <w:r>
              <w:t>0</w:t>
            </w:r>
          </w:p>
        </w:tc>
        <w:tc>
          <w:tcPr>
            <w:shd w:val="clear" w:color="auto" w:fill="F9F9F9"/>
            <w:vAlign w:val="center"/>
          </w:tcPr>
          <w:p>
            <w:pPr>
              <w:jc w:val="left"/>
            </w:pPr>
            <w:r>
              <w:drawing>
                <wp:inline distT="0" distB="0" distL="114300" distR="114300">
                  <wp:extent cx="1352550" cy="114300"/>
                  <wp:effectExtent l="0" t="0" r="0" b="0"/>
                  <wp:docPr id="195"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03"/>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jc w:val="left"/>
            </w:pPr>
            <w:r>
              <w:t>E.非常不满意</w:t>
            </w:r>
          </w:p>
        </w:tc>
        <w:tc>
          <w:tcPr>
            <w:shd w:val="clear" w:color="auto" w:fill="FFFFFF"/>
            <w:vAlign w:val="center"/>
          </w:tcPr>
          <w:p>
            <w:pPr>
              <w:jc w:val="center"/>
            </w:pPr>
            <w:r>
              <w:t>0</w:t>
            </w:r>
          </w:p>
        </w:tc>
        <w:tc>
          <w:tcPr>
            <w:shd w:val="clear" w:color="auto" w:fill="FFFFFF"/>
            <w:vAlign w:val="center"/>
          </w:tcPr>
          <w:p>
            <w:pPr>
              <w:jc w:val="left"/>
            </w:pPr>
            <w:r>
              <w:drawing>
                <wp:inline distT="0" distB="0" distL="114300" distR="114300">
                  <wp:extent cx="1352550" cy="114300"/>
                  <wp:effectExtent l="0" t="0" r="0" b="0"/>
                  <wp:docPr id="196"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04"/>
                          <pic:cNvPicPr>
                            <a:picLocks noChangeAspect="1"/>
                          </pic:cNvPicPr>
                        </pic:nvPicPr>
                        <pic:blipFill>
                          <a:blip r:embed="rId15"/>
                          <a:stretch>
                            <a:fillRect/>
                          </a:stretch>
                        </pic:blipFill>
                        <pic:spPr>
                          <a:xfrm>
                            <a:off x="0" y="0"/>
                            <a:ext cx="1352550" cy="11430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jc w:val="left"/>
            </w:pPr>
            <w:r>
              <w:t>本题有效填写人次</w:t>
            </w:r>
          </w:p>
        </w:tc>
        <w:tc>
          <w:tcPr>
            <w:shd w:val="clear" w:color="auto" w:fill="E0E0E0"/>
            <w:vAlign w:val="center"/>
          </w:tcPr>
          <w:p>
            <w:pPr>
              <w:jc w:val="center"/>
            </w:pPr>
            <w:r>
              <w:t>40</w:t>
            </w:r>
          </w:p>
        </w:tc>
        <w:tc>
          <w:tcPr>
            <w:shd w:val="clear" w:color="auto" w:fill="E0E0E0"/>
            <w:vAlign w:val="center"/>
          </w:tcPr>
          <w:p>
            <w:pPr>
              <w:jc w:val="left"/>
            </w:pPr>
          </w:p>
        </w:tc>
      </w:tr>
    </w:tbl>
    <w:p>
      <w:pPr>
        <w:pStyle w:val="2"/>
        <w:rPr>
          <w:rFonts w:hint="default"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附件3-1</w:t>
      </w:r>
    </w:p>
    <w:p>
      <w:pPr>
        <w:pStyle w:val="2"/>
        <w:jc w:val="center"/>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反映项目绩效的照片</w:t>
      </w:r>
    </w:p>
    <w:p>
      <w:pPr>
        <w:pStyle w:val="2"/>
        <w:jc w:val="left"/>
        <w:rPr>
          <w:rFonts w:hint="default"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项目单位：临猗县老干部局</w:t>
      </w:r>
    </w:p>
    <w:tbl>
      <w:tblPr>
        <w:tblStyle w:val="8"/>
        <w:tblW w:w="9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6"/>
        <w:gridCol w:w="4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8" w:hRule="atLeast"/>
        </w:trPr>
        <w:tc>
          <w:tcPr>
            <w:tcW w:w="4602" w:type="dxa"/>
          </w:tcPr>
          <w:p>
            <w:pPr>
              <w:pStyle w:val="2"/>
              <w:jc w:val="left"/>
              <w:rPr>
                <w:rFonts w:hint="default" w:ascii="仿宋" w:hAnsi="仿宋" w:eastAsia="仿宋" w:cs="仿宋"/>
                <w:b/>
                <w:bCs/>
                <w:kern w:val="2"/>
                <w:sz w:val="28"/>
                <w:szCs w:val="28"/>
                <w:highlight w:val="none"/>
                <w:vertAlign w:val="baseline"/>
                <w:lang w:val="en-US" w:eastAsia="zh-CN" w:bidi="ar-SA"/>
              </w:rPr>
            </w:pPr>
            <w:r>
              <w:rPr>
                <w:rFonts w:hint="default" w:ascii="仿宋" w:hAnsi="仿宋" w:eastAsia="仿宋" w:cs="仿宋"/>
                <w:b/>
                <w:bCs/>
                <w:kern w:val="2"/>
                <w:sz w:val="28"/>
                <w:szCs w:val="28"/>
                <w:highlight w:val="none"/>
                <w:vertAlign w:val="baseline"/>
                <w:lang w:val="en-US" w:eastAsia="zh-CN" w:bidi="ar-SA"/>
              </w:rPr>
              <w:drawing>
                <wp:inline distT="0" distB="0" distL="114300" distR="114300">
                  <wp:extent cx="2782570" cy="2086610"/>
                  <wp:effectExtent l="0" t="0" r="17780" b="8890"/>
                  <wp:docPr id="10" name="图片 10" descr="203614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36143490"/>
                          <pic:cNvPicPr>
                            <a:picLocks noChangeAspect="1"/>
                          </pic:cNvPicPr>
                        </pic:nvPicPr>
                        <pic:blipFill>
                          <a:blip r:embed="rId41"/>
                          <a:stretch>
                            <a:fillRect/>
                          </a:stretch>
                        </pic:blipFill>
                        <pic:spPr>
                          <a:xfrm>
                            <a:off x="0" y="0"/>
                            <a:ext cx="2782570" cy="2086610"/>
                          </a:xfrm>
                          <a:prstGeom prst="rect">
                            <a:avLst/>
                          </a:prstGeom>
                        </pic:spPr>
                      </pic:pic>
                    </a:graphicData>
                  </a:graphic>
                </wp:inline>
              </w:drawing>
            </w:r>
          </w:p>
        </w:tc>
        <w:tc>
          <w:tcPr>
            <w:tcW w:w="4602" w:type="dxa"/>
          </w:tcPr>
          <w:p>
            <w:pPr>
              <w:pStyle w:val="2"/>
              <w:jc w:val="left"/>
              <w:rPr>
                <w:rFonts w:hint="default" w:ascii="仿宋" w:hAnsi="仿宋" w:eastAsia="仿宋" w:cs="仿宋"/>
                <w:b/>
                <w:bCs/>
                <w:kern w:val="2"/>
                <w:sz w:val="28"/>
                <w:szCs w:val="28"/>
                <w:highlight w:val="none"/>
                <w:vertAlign w:val="baseline"/>
                <w:lang w:val="en-US" w:eastAsia="zh-CN" w:bidi="ar-SA"/>
              </w:rPr>
            </w:pPr>
            <w:r>
              <w:rPr>
                <w:rFonts w:hint="default" w:ascii="仿宋" w:hAnsi="仿宋" w:eastAsia="仿宋" w:cs="仿宋"/>
                <w:b/>
                <w:bCs/>
                <w:kern w:val="2"/>
                <w:sz w:val="28"/>
                <w:szCs w:val="28"/>
                <w:highlight w:val="none"/>
                <w:vertAlign w:val="baseline"/>
                <w:lang w:val="en-US" w:eastAsia="zh-CN" w:bidi="ar-SA"/>
              </w:rPr>
              <w:drawing>
                <wp:inline distT="0" distB="0" distL="114300" distR="114300">
                  <wp:extent cx="2782570" cy="2086610"/>
                  <wp:effectExtent l="0" t="0" r="17780" b="8890"/>
                  <wp:docPr id="11" name="图片 11" descr="534414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34414467"/>
                          <pic:cNvPicPr>
                            <a:picLocks noChangeAspect="1"/>
                          </pic:cNvPicPr>
                        </pic:nvPicPr>
                        <pic:blipFill>
                          <a:blip r:embed="rId42"/>
                          <a:stretch>
                            <a:fillRect/>
                          </a:stretch>
                        </pic:blipFill>
                        <pic:spPr>
                          <a:xfrm>
                            <a:off x="0" y="0"/>
                            <a:ext cx="2782570" cy="20866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4602" w:type="dxa"/>
          </w:tcPr>
          <w:p>
            <w:pPr>
              <w:pStyle w:val="2"/>
              <w:jc w:val="center"/>
              <w:rPr>
                <w:rFonts w:hint="default" w:ascii="仿宋" w:hAnsi="仿宋" w:eastAsia="仿宋" w:cs="仿宋"/>
                <w:b/>
                <w:bCs/>
                <w:kern w:val="2"/>
                <w:sz w:val="28"/>
                <w:szCs w:val="28"/>
                <w:highlight w:val="none"/>
                <w:vertAlign w:val="baseline"/>
                <w:lang w:val="en-US" w:eastAsia="zh-CN" w:bidi="ar-SA"/>
              </w:rPr>
            </w:pPr>
            <w:r>
              <w:rPr>
                <w:rFonts w:hint="eastAsia" w:ascii="仿宋" w:hAnsi="仿宋" w:eastAsia="仿宋" w:cs="仿宋"/>
                <w:b/>
                <w:bCs/>
                <w:kern w:val="2"/>
                <w:sz w:val="28"/>
                <w:szCs w:val="28"/>
                <w:highlight w:val="none"/>
                <w:vertAlign w:val="baseline"/>
                <w:lang w:val="en-US" w:eastAsia="zh-CN" w:bidi="ar-SA"/>
              </w:rPr>
              <w:t>春节慰问</w:t>
            </w:r>
          </w:p>
        </w:tc>
        <w:tc>
          <w:tcPr>
            <w:tcW w:w="4602" w:type="dxa"/>
          </w:tcPr>
          <w:p>
            <w:pPr>
              <w:pStyle w:val="2"/>
              <w:jc w:val="center"/>
              <w:rPr>
                <w:rFonts w:hint="default" w:ascii="仿宋" w:hAnsi="仿宋" w:eastAsia="仿宋" w:cs="仿宋"/>
                <w:b/>
                <w:bCs/>
                <w:kern w:val="2"/>
                <w:sz w:val="28"/>
                <w:szCs w:val="28"/>
                <w:highlight w:val="none"/>
                <w:vertAlign w:val="baseline"/>
                <w:lang w:val="en-US" w:eastAsia="zh-CN" w:bidi="ar-SA"/>
              </w:rPr>
            </w:pPr>
            <w:r>
              <w:rPr>
                <w:rFonts w:hint="eastAsia" w:ascii="仿宋" w:hAnsi="仿宋" w:eastAsia="仿宋" w:cs="仿宋"/>
                <w:b/>
                <w:bCs/>
                <w:kern w:val="2"/>
                <w:sz w:val="28"/>
                <w:szCs w:val="28"/>
                <w:highlight w:val="none"/>
                <w:vertAlign w:val="baseline"/>
                <w:lang w:val="en-US" w:eastAsia="zh-CN" w:bidi="ar-SA"/>
              </w:rPr>
              <w:t>春节慰问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trPr>
        <w:tc>
          <w:tcPr>
            <w:tcW w:w="4602" w:type="dxa"/>
          </w:tcPr>
          <w:p>
            <w:pPr>
              <w:pStyle w:val="2"/>
              <w:jc w:val="left"/>
              <w:rPr>
                <w:rFonts w:hint="default" w:ascii="仿宋" w:hAnsi="仿宋" w:eastAsia="仿宋" w:cs="仿宋"/>
                <w:b/>
                <w:bCs/>
                <w:kern w:val="2"/>
                <w:sz w:val="28"/>
                <w:szCs w:val="28"/>
                <w:highlight w:val="none"/>
                <w:vertAlign w:val="baseline"/>
                <w:lang w:val="en-US" w:eastAsia="zh-CN" w:bidi="ar-SA"/>
              </w:rPr>
            </w:pPr>
            <w:r>
              <w:rPr>
                <w:rFonts w:hint="default" w:ascii="仿宋" w:hAnsi="仿宋" w:eastAsia="仿宋" w:cs="仿宋"/>
                <w:b/>
                <w:bCs/>
                <w:kern w:val="2"/>
                <w:sz w:val="28"/>
                <w:szCs w:val="28"/>
                <w:highlight w:val="none"/>
                <w:vertAlign w:val="baseline"/>
                <w:lang w:val="en-US" w:eastAsia="zh-CN" w:bidi="ar-SA"/>
              </w:rPr>
              <w:drawing>
                <wp:inline distT="0" distB="0" distL="114300" distR="114300">
                  <wp:extent cx="2768600" cy="1848485"/>
                  <wp:effectExtent l="0" t="0" r="12700" b="18415"/>
                  <wp:docPr id="12" name="图片 12" descr="DSC_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SC_3051"/>
                          <pic:cNvPicPr>
                            <a:picLocks noChangeAspect="1"/>
                          </pic:cNvPicPr>
                        </pic:nvPicPr>
                        <pic:blipFill>
                          <a:blip r:embed="rId43"/>
                          <a:stretch>
                            <a:fillRect/>
                          </a:stretch>
                        </pic:blipFill>
                        <pic:spPr>
                          <a:xfrm>
                            <a:off x="0" y="0"/>
                            <a:ext cx="2768600" cy="1848485"/>
                          </a:xfrm>
                          <a:prstGeom prst="rect">
                            <a:avLst/>
                          </a:prstGeom>
                        </pic:spPr>
                      </pic:pic>
                    </a:graphicData>
                  </a:graphic>
                </wp:inline>
              </w:drawing>
            </w:r>
          </w:p>
        </w:tc>
        <w:tc>
          <w:tcPr>
            <w:tcW w:w="4602" w:type="dxa"/>
          </w:tcPr>
          <w:p>
            <w:pPr>
              <w:pStyle w:val="2"/>
              <w:jc w:val="left"/>
              <w:rPr>
                <w:rFonts w:hint="default" w:ascii="仿宋" w:hAnsi="仿宋" w:eastAsia="仿宋" w:cs="仿宋"/>
                <w:b/>
                <w:bCs/>
                <w:kern w:val="2"/>
                <w:sz w:val="28"/>
                <w:szCs w:val="28"/>
                <w:highlight w:val="none"/>
                <w:vertAlign w:val="baseline"/>
                <w:lang w:val="en-US" w:eastAsia="zh-CN" w:bidi="ar-SA"/>
              </w:rPr>
            </w:pPr>
            <w:r>
              <w:rPr>
                <w:rFonts w:hint="default" w:ascii="仿宋" w:hAnsi="仿宋" w:eastAsia="仿宋" w:cs="仿宋"/>
                <w:b/>
                <w:bCs/>
                <w:kern w:val="2"/>
                <w:sz w:val="28"/>
                <w:szCs w:val="28"/>
                <w:highlight w:val="none"/>
                <w:vertAlign w:val="baseline"/>
                <w:lang w:val="en-US" w:eastAsia="zh-CN" w:bidi="ar-SA"/>
              </w:rPr>
              <w:drawing>
                <wp:inline distT="0" distB="0" distL="114300" distR="114300">
                  <wp:extent cx="2768600" cy="1848485"/>
                  <wp:effectExtent l="0" t="0" r="12700" b="18415"/>
                  <wp:docPr id="13" name="图片 13" descr="DSC_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SC_3064"/>
                          <pic:cNvPicPr>
                            <a:picLocks noChangeAspect="1"/>
                          </pic:cNvPicPr>
                        </pic:nvPicPr>
                        <pic:blipFill>
                          <a:blip r:embed="rId44"/>
                          <a:stretch>
                            <a:fillRect/>
                          </a:stretch>
                        </pic:blipFill>
                        <pic:spPr>
                          <a:xfrm>
                            <a:off x="0" y="0"/>
                            <a:ext cx="2768600" cy="1848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602" w:type="dxa"/>
          </w:tcPr>
          <w:p>
            <w:pPr>
              <w:pStyle w:val="2"/>
              <w:jc w:val="center"/>
              <w:rPr>
                <w:rFonts w:hint="default" w:ascii="仿宋" w:hAnsi="仿宋" w:eastAsia="仿宋" w:cs="仿宋"/>
                <w:b/>
                <w:bCs/>
                <w:kern w:val="2"/>
                <w:sz w:val="28"/>
                <w:szCs w:val="28"/>
                <w:highlight w:val="none"/>
                <w:vertAlign w:val="baseline"/>
                <w:lang w:val="en-US" w:eastAsia="zh-CN" w:bidi="ar-SA"/>
              </w:rPr>
            </w:pPr>
            <w:r>
              <w:rPr>
                <w:rFonts w:hint="eastAsia" w:ascii="仿宋" w:hAnsi="仿宋" w:eastAsia="仿宋" w:cs="仿宋"/>
                <w:b/>
                <w:bCs/>
                <w:kern w:val="2"/>
                <w:sz w:val="28"/>
                <w:szCs w:val="28"/>
                <w:highlight w:val="none"/>
                <w:vertAlign w:val="baseline"/>
                <w:lang w:val="en-US" w:eastAsia="zh-CN" w:bidi="ar-SA"/>
              </w:rPr>
              <w:t>春节慰问</w:t>
            </w:r>
          </w:p>
        </w:tc>
        <w:tc>
          <w:tcPr>
            <w:tcW w:w="4602" w:type="dxa"/>
          </w:tcPr>
          <w:p>
            <w:pPr>
              <w:pStyle w:val="2"/>
              <w:jc w:val="center"/>
              <w:rPr>
                <w:rFonts w:hint="default" w:ascii="仿宋" w:hAnsi="仿宋" w:eastAsia="仿宋" w:cs="仿宋"/>
                <w:b/>
                <w:bCs/>
                <w:kern w:val="2"/>
                <w:sz w:val="28"/>
                <w:szCs w:val="28"/>
                <w:highlight w:val="none"/>
                <w:vertAlign w:val="baseline"/>
                <w:lang w:val="en-US" w:eastAsia="zh-CN" w:bidi="ar-SA"/>
              </w:rPr>
            </w:pPr>
            <w:r>
              <w:rPr>
                <w:rFonts w:hint="eastAsia" w:ascii="仿宋" w:hAnsi="仿宋" w:eastAsia="仿宋" w:cs="仿宋"/>
                <w:b/>
                <w:bCs/>
                <w:kern w:val="2"/>
                <w:sz w:val="28"/>
                <w:szCs w:val="28"/>
                <w:highlight w:val="none"/>
                <w:vertAlign w:val="baseline"/>
                <w:lang w:val="en-US" w:eastAsia="zh-CN" w:bidi="ar-SA"/>
              </w:rPr>
              <w:t>春节慰问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9" w:hRule="atLeast"/>
        </w:trPr>
        <w:tc>
          <w:tcPr>
            <w:tcW w:w="4602" w:type="dxa"/>
          </w:tcPr>
          <w:p>
            <w:pPr>
              <w:pStyle w:val="2"/>
              <w:jc w:val="left"/>
              <w:rPr>
                <w:rFonts w:hint="default" w:ascii="仿宋" w:hAnsi="仿宋" w:eastAsia="仿宋" w:cs="仿宋"/>
                <w:b/>
                <w:bCs/>
                <w:kern w:val="2"/>
                <w:sz w:val="28"/>
                <w:szCs w:val="28"/>
                <w:highlight w:val="none"/>
                <w:vertAlign w:val="baseline"/>
                <w:lang w:val="en-US" w:eastAsia="zh-CN" w:bidi="ar-SA"/>
              </w:rPr>
            </w:pPr>
            <w:r>
              <w:rPr>
                <w:rFonts w:hint="default" w:ascii="仿宋" w:hAnsi="仿宋" w:eastAsia="仿宋" w:cs="仿宋"/>
                <w:b/>
                <w:bCs/>
                <w:kern w:val="2"/>
                <w:sz w:val="28"/>
                <w:szCs w:val="28"/>
                <w:highlight w:val="none"/>
                <w:vertAlign w:val="baseline"/>
                <w:lang w:val="en-US" w:eastAsia="zh-CN" w:bidi="ar-SA"/>
              </w:rPr>
              <w:drawing>
                <wp:inline distT="0" distB="0" distL="114300" distR="114300">
                  <wp:extent cx="2780030" cy="2091690"/>
                  <wp:effectExtent l="0" t="0" r="1270" b="3810"/>
                  <wp:docPr id="14" name="图片 14" descr="961355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61355946"/>
                          <pic:cNvPicPr>
                            <a:picLocks noChangeAspect="1"/>
                          </pic:cNvPicPr>
                        </pic:nvPicPr>
                        <pic:blipFill>
                          <a:blip r:embed="rId45"/>
                          <a:stretch>
                            <a:fillRect/>
                          </a:stretch>
                        </pic:blipFill>
                        <pic:spPr>
                          <a:xfrm>
                            <a:off x="0" y="0"/>
                            <a:ext cx="2780030" cy="2091690"/>
                          </a:xfrm>
                          <a:prstGeom prst="rect">
                            <a:avLst/>
                          </a:prstGeom>
                        </pic:spPr>
                      </pic:pic>
                    </a:graphicData>
                  </a:graphic>
                </wp:inline>
              </w:drawing>
            </w:r>
          </w:p>
        </w:tc>
        <w:tc>
          <w:tcPr>
            <w:tcW w:w="4602" w:type="dxa"/>
          </w:tcPr>
          <w:p>
            <w:pPr>
              <w:pStyle w:val="2"/>
              <w:jc w:val="left"/>
              <w:rPr>
                <w:rFonts w:hint="default" w:ascii="仿宋" w:hAnsi="仿宋" w:eastAsia="仿宋" w:cs="仿宋"/>
                <w:b/>
                <w:bCs/>
                <w:kern w:val="2"/>
                <w:sz w:val="28"/>
                <w:szCs w:val="28"/>
                <w:highlight w:val="none"/>
                <w:vertAlign w:val="baseline"/>
                <w:lang w:val="en-US" w:eastAsia="zh-CN" w:bidi="ar-SA"/>
              </w:rPr>
            </w:pPr>
            <w:r>
              <w:rPr>
                <w:rFonts w:hint="default" w:ascii="仿宋" w:hAnsi="仿宋" w:eastAsia="仿宋" w:cs="仿宋"/>
                <w:b/>
                <w:bCs/>
                <w:kern w:val="2"/>
                <w:sz w:val="28"/>
                <w:szCs w:val="28"/>
                <w:highlight w:val="none"/>
                <w:vertAlign w:val="baseline"/>
                <w:lang w:val="en-US" w:eastAsia="zh-CN" w:bidi="ar-SA"/>
              </w:rPr>
              <w:drawing>
                <wp:inline distT="0" distB="0" distL="114300" distR="114300">
                  <wp:extent cx="2743200" cy="2057400"/>
                  <wp:effectExtent l="0" t="0" r="0" b="0"/>
                  <wp:docPr id="15" name="图片 15" descr="DSC0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SC01254"/>
                          <pic:cNvPicPr>
                            <a:picLocks noChangeAspect="1"/>
                          </pic:cNvPicPr>
                        </pic:nvPicPr>
                        <pic:blipFill>
                          <a:blip r:embed="rId46"/>
                          <a:stretch>
                            <a:fillRect/>
                          </a:stretch>
                        </pic:blipFill>
                        <pic:spPr>
                          <a:xfrm>
                            <a:off x="0" y="0"/>
                            <a:ext cx="2743200" cy="20574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4602" w:type="dxa"/>
          </w:tcPr>
          <w:p>
            <w:pPr>
              <w:pStyle w:val="2"/>
              <w:jc w:val="center"/>
              <w:rPr>
                <w:rFonts w:hint="default" w:ascii="仿宋" w:hAnsi="仿宋" w:eastAsia="仿宋" w:cs="仿宋"/>
                <w:b/>
                <w:bCs/>
                <w:kern w:val="2"/>
                <w:sz w:val="28"/>
                <w:szCs w:val="28"/>
                <w:highlight w:val="none"/>
                <w:vertAlign w:val="baseline"/>
                <w:lang w:val="en-US" w:eastAsia="zh-CN" w:bidi="ar-SA"/>
              </w:rPr>
            </w:pPr>
            <w:r>
              <w:rPr>
                <w:rFonts w:hint="eastAsia" w:ascii="仿宋" w:hAnsi="仿宋" w:eastAsia="仿宋" w:cs="仿宋"/>
                <w:b/>
                <w:bCs/>
                <w:kern w:val="2"/>
                <w:sz w:val="28"/>
                <w:szCs w:val="28"/>
                <w:highlight w:val="none"/>
                <w:vertAlign w:val="baseline"/>
                <w:lang w:val="en-US" w:eastAsia="zh-CN" w:bidi="ar-SA"/>
              </w:rPr>
              <w:t>疫情期间志愿服务</w:t>
            </w:r>
          </w:p>
        </w:tc>
        <w:tc>
          <w:tcPr>
            <w:tcW w:w="4602" w:type="dxa"/>
          </w:tcPr>
          <w:p>
            <w:pPr>
              <w:pStyle w:val="2"/>
              <w:jc w:val="center"/>
              <w:rPr>
                <w:rFonts w:hint="default" w:ascii="仿宋" w:hAnsi="仿宋" w:eastAsia="仿宋" w:cs="仿宋"/>
                <w:b/>
                <w:bCs/>
                <w:kern w:val="2"/>
                <w:sz w:val="28"/>
                <w:szCs w:val="28"/>
                <w:highlight w:val="none"/>
                <w:vertAlign w:val="baseline"/>
                <w:lang w:val="en-US" w:eastAsia="zh-CN" w:bidi="ar-SA"/>
              </w:rPr>
            </w:pPr>
            <w:r>
              <w:rPr>
                <w:rFonts w:hint="eastAsia" w:ascii="仿宋" w:hAnsi="仿宋" w:eastAsia="仿宋" w:cs="仿宋"/>
                <w:b/>
                <w:bCs/>
                <w:kern w:val="2"/>
                <w:sz w:val="28"/>
                <w:szCs w:val="28"/>
                <w:highlight w:val="none"/>
                <w:vertAlign w:val="baseline"/>
                <w:lang w:val="en-US" w:eastAsia="zh-CN" w:bidi="ar-SA"/>
              </w:rPr>
              <w:t>学习培训</w:t>
            </w:r>
          </w:p>
        </w:tc>
      </w:tr>
    </w:tbl>
    <w:p>
      <w:pPr>
        <w:pStyle w:val="2"/>
        <w:rPr>
          <w:rFonts w:hint="eastAsia" w:ascii="仿宋" w:hAnsi="仿宋" w:eastAsia="仿宋" w:cs="仿宋"/>
          <w:sz w:val="24"/>
          <w:szCs w:val="24"/>
          <w:highlight w:val="none"/>
        </w:rPr>
      </w:pPr>
    </w:p>
    <w:p>
      <w:pPr>
        <w:pStyle w:val="2"/>
        <w:rPr>
          <w:rFonts w:hint="eastAsia" w:ascii="仿宋" w:hAnsi="仿宋" w:eastAsia="仿宋" w:cs="仿宋"/>
          <w:b w:val="0"/>
          <w:bCs w:val="0"/>
          <w:kern w:val="2"/>
          <w:sz w:val="24"/>
          <w:szCs w:val="24"/>
          <w:highlight w:val="none"/>
          <w:lang w:val="en-US" w:eastAsia="zh-CN" w:bidi="ar-SA"/>
        </w:rPr>
      </w:pPr>
    </w:p>
    <w:p>
      <w:pPr>
        <w:pStyle w:val="2"/>
        <w:rPr>
          <w:rFonts w:hint="default"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附件3-2</w:t>
      </w:r>
    </w:p>
    <w:p>
      <w:pPr>
        <w:pStyle w:val="2"/>
        <w:jc w:val="center"/>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反映项目绩效的照片</w:t>
      </w:r>
    </w:p>
    <w:p>
      <w:pPr>
        <w:pStyle w:val="2"/>
        <w:jc w:val="left"/>
        <w:rPr>
          <w:rFonts w:hint="default"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项目单位：临猗县老干部局</w:t>
      </w:r>
    </w:p>
    <w:tbl>
      <w:tblPr>
        <w:tblStyle w:val="8"/>
        <w:tblW w:w="92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6"/>
        <w:gridCol w:w="4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8" w:hRule="atLeast"/>
        </w:trPr>
        <w:tc>
          <w:tcPr>
            <w:tcW w:w="4602" w:type="dxa"/>
          </w:tcPr>
          <w:p>
            <w:pPr>
              <w:pStyle w:val="2"/>
              <w:jc w:val="left"/>
              <w:rPr>
                <w:rFonts w:hint="default" w:ascii="仿宋" w:hAnsi="仿宋" w:eastAsia="仿宋" w:cs="仿宋"/>
                <w:b/>
                <w:bCs/>
                <w:kern w:val="2"/>
                <w:sz w:val="28"/>
                <w:szCs w:val="28"/>
                <w:highlight w:val="none"/>
                <w:vertAlign w:val="baseline"/>
                <w:lang w:val="en-US" w:eastAsia="zh-CN" w:bidi="ar-SA"/>
              </w:rPr>
            </w:pPr>
            <w:r>
              <w:rPr>
                <w:rFonts w:hint="default" w:ascii="仿宋" w:hAnsi="仿宋" w:eastAsia="仿宋" w:cs="仿宋"/>
                <w:b/>
                <w:bCs/>
                <w:kern w:val="2"/>
                <w:sz w:val="28"/>
                <w:szCs w:val="28"/>
                <w:highlight w:val="none"/>
                <w:vertAlign w:val="baseline"/>
                <w:lang w:val="en-US" w:eastAsia="zh-CN" w:bidi="ar-SA"/>
              </w:rPr>
              <w:drawing>
                <wp:inline distT="0" distB="0" distL="114300" distR="114300">
                  <wp:extent cx="2782570" cy="2086610"/>
                  <wp:effectExtent l="0" t="0" r="17780" b="8890"/>
                  <wp:docPr id="16" name="图片 16" descr="8adf42a419d76e7b5995426abd32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adf42a419d76e7b5995426abd322f4"/>
                          <pic:cNvPicPr>
                            <a:picLocks noChangeAspect="1"/>
                          </pic:cNvPicPr>
                        </pic:nvPicPr>
                        <pic:blipFill>
                          <a:blip r:embed="rId47"/>
                          <a:stretch>
                            <a:fillRect/>
                          </a:stretch>
                        </pic:blipFill>
                        <pic:spPr>
                          <a:xfrm>
                            <a:off x="0" y="0"/>
                            <a:ext cx="2782570" cy="2086610"/>
                          </a:xfrm>
                          <a:prstGeom prst="rect">
                            <a:avLst/>
                          </a:prstGeom>
                        </pic:spPr>
                      </pic:pic>
                    </a:graphicData>
                  </a:graphic>
                </wp:inline>
              </w:drawing>
            </w:r>
          </w:p>
        </w:tc>
        <w:tc>
          <w:tcPr>
            <w:tcW w:w="4602" w:type="dxa"/>
          </w:tcPr>
          <w:p>
            <w:pPr>
              <w:pStyle w:val="2"/>
              <w:jc w:val="left"/>
              <w:rPr>
                <w:rFonts w:hint="default" w:ascii="仿宋" w:hAnsi="仿宋" w:eastAsia="仿宋" w:cs="仿宋"/>
                <w:b/>
                <w:bCs/>
                <w:kern w:val="2"/>
                <w:sz w:val="28"/>
                <w:szCs w:val="28"/>
                <w:highlight w:val="none"/>
                <w:vertAlign w:val="baseline"/>
                <w:lang w:val="en-US" w:eastAsia="zh-CN" w:bidi="ar-SA"/>
              </w:rPr>
            </w:pPr>
            <w:r>
              <w:rPr>
                <w:rFonts w:hint="default" w:ascii="仿宋" w:hAnsi="仿宋" w:eastAsia="仿宋" w:cs="仿宋"/>
                <w:b/>
                <w:bCs/>
                <w:kern w:val="2"/>
                <w:sz w:val="28"/>
                <w:szCs w:val="28"/>
                <w:highlight w:val="none"/>
                <w:vertAlign w:val="baseline"/>
                <w:lang w:val="en-US" w:eastAsia="zh-CN" w:bidi="ar-SA"/>
              </w:rPr>
              <w:drawing>
                <wp:inline distT="0" distB="0" distL="114300" distR="114300">
                  <wp:extent cx="2782570" cy="2086610"/>
                  <wp:effectExtent l="0" t="0" r="17780" b="8890"/>
                  <wp:docPr id="17" name="图片 17" descr="4b3a3c56025714aeee121026f4d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b3a3c56025714aeee121026f4df499"/>
                          <pic:cNvPicPr>
                            <a:picLocks noChangeAspect="1"/>
                          </pic:cNvPicPr>
                        </pic:nvPicPr>
                        <pic:blipFill>
                          <a:blip r:embed="rId48"/>
                          <a:stretch>
                            <a:fillRect/>
                          </a:stretch>
                        </pic:blipFill>
                        <pic:spPr>
                          <a:xfrm>
                            <a:off x="0" y="0"/>
                            <a:ext cx="2782570" cy="20866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4602" w:type="dxa"/>
          </w:tcPr>
          <w:p>
            <w:pPr>
              <w:pStyle w:val="2"/>
              <w:jc w:val="center"/>
              <w:rPr>
                <w:rFonts w:hint="default" w:ascii="仿宋" w:hAnsi="仿宋" w:eastAsia="仿宋" w:cs="仿宋"/>
                <w:b/>
                <w:bCs/>
                <w:kern w:val="2"/>
                <w:sz w:val="28"/>
                <w:szCs w:val="28"/>
                <w:highlight w:val="none"/>
                <w:vertAlign w:val="baseline"/>
                <w:lang w:val="en-US" w:eastAsia="zh-CN" w:bidi="ar-SA"/>
              </w:rPr>
            </w:pPr>
            <w:r>
              <w:rPr>
                <w:rFonts w:hint="eastAsia" w:ascii="仿宋" w:hAnsi="仿宋" w:eastAsia="仿宋" w:cs="仿宋"/>
                <w:b/>
                <w:bCs/>
                <w:kern w:val="2"/>
                <w:sz w:val="28"/>
                <w:szCs w:val="28"/>
                <w:highlight w:val="none"/>
                <w:vertAlign w:val="baseline"/>
                <w:lang w:val="en-US" w:eastAsia="zh-CN" w:bidi="ar-SA"/>
              </w:rPr>
              <w:t>学习培训</w:t>
            </w:r>
          </w:p>
        </w:tc>
        <w:tc>
          <w:tcPr>
            <w:tcW w:w="4602" w:type="dxa"/>
          </w:tcPr>
          <w:p>
            <w:pPr>
              <w:pStyle w:val="2"/>
              <w:jc w:val="center"/>
              <w:rPr>
                <w:rFonts w:hint="default" w:ascii="仿宋" w:hAnsi="仿宋" w:eastAsia="仿宋" w:cs="仿宋"/>
                <w:b/>
                <w:bCs/>
                <w:kern w:val="2"/>
                <w:sz w:val="28"/>
                <w:szCs w:val="28"/>
                <w:highlight w:val="none"/>
                <w:vertAlign w:val="baseline"/>
                <w:lang w:val="en-US" w:eastAsia="zh-CN" w:bidi="ar-SA"/>
              </w:rPr>
            </w:pPr>
            <w:r>
              <w:rPr>
                <w:rFonts w:hint="eastAsia" w:ascii="仿宋" w:hAnsi="仿宋" w:eastAsia="仿宋" w:cs="仿宋"/>
                <w:b/>
                <w:bCs/>
                <w:kern w:val="2"/>
                <w:sz w:val="28"/>
                <w:szCs w:val="28"/>
                <w:highlight w:val="none"/>
                <w:vertAlign w:val="baseline"/>
                <w:lang w:val="en-US" w:eastAsia="zh-CN" w:bidi="ar-SA"/>
              </w:rPr>
              <w:t>健康体检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trPr>
        <w:tc>
          <w:tcPr>
            <w:tcW w:w="4602" w:type="dxa"/>
          </w:tcPr>
          <w:p>
            <w:pPr>
              <w:pStyle w:val="2"/>
              <w:jc w:val="left"/>
              <w:rPr>
                <w:rFonts w:hint="default" w:ascii="仿宋" w:hAnsi="仿宋" w:eastAsia="仿宋" w:cs="仿宋"/>
                <w:b/>
                <w:bCs/>
                <w:kern w:val="2"/>
                <w:sz w:val="28"/>
                <w:szCs w:val="28"/>
                <w:highlight w:val="none"/>
                <w:vertAlign w:val="baseline"/>
                <w:lang w:val="en-US" w:eastAsia="zh-CN" w:bidi="ar-SA"/>
              </w:rPr>
            </w:pPr>
            <w:r>
              <w:rPr>
                <w:rFonts w:hint="default" w:ascii="仿宋" w:hAnsi="仿宋" w:eastAsia="仿宋" w:cs="仿宋"/>
                <w:b/>
                <w:bCs/>
                <w:kern w:val="2"/>
                <w:sz w:val="28"/>
                <w:szCs w:val="28"/>
                <w:highlight w:val="none"/>
                <w:vertAlign w:val="baseline"/>
                <w:lang w:val="en-US" w:eastAsia="zh-CN" w:bidi="ar-SA"/>
              </w:rPr>
              <w:drawing>
                <wp:inline distT="0" distB="0" distL="114300" distR="114300">
                  <wp:extent cx="2768600" cy="1848485"/>
                  <wp:effectExtent l="0" t="0" r="12700" b="18415"/>
                  <wp:docPr id="18" name="图片 18" descr="C:/Users/1/AppData/Local/Temp/picturecompress_2021092511230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AppData/Local/Temp/picturecompress_20210925112307/output_1.jpgoutput_1"/>
                          <pic:cNvPicPr>
                            <a:picLocks noChangeAspect="1"/>
                          </pic:cNvPicPr>
                        </pic:nvPicPr>
                        <pic:blipFill>
                          <a:blip r:embed="rId49"/>
                          <a:stretch>
                            <a:fillRect/>
                          </a:stretch>
                        </pic:blipFill>
                        <pic:spPr>
                          <a:xfrm>
                            <a:off x="0" y="0"/>
                            <a:ext cx="2768600" cy="1848485"/>
                          </a:xfrm>
                          <a:prstGeom prst="rect">
                            <a:avLst/>
                          </a:prstGeom>
                        </pic:spPr>
                      </pic:pic>
                    </a:graphicData>
                  </a:graphic>
                </wp:inline>
              </w:drawing>
            </w:r>
          </w:p>
        </w:tc>
        <w:tc>
          <w:tcPr>
            <w:tcW w:w="4602" w:type="dxa"/>
          </w:tcPr>
          <w:p>
            <w:pPr>
              <w:pStyle w:val="2"/>
              <w:jc w:val="left"/>
              <w:rPr>
                <w:rFonts w:hint="default" w:ascii="仿宋" w:hAnsi="仿宋" w:eastAsia="仿宋" w:cs="仿宋"/>
                <w:b/>
                <w:bCs/>
                <w:kern w:val="2"/>
                <w:sz w:val="28"/>
                <w:szCs w:val="28"/>
                <w:highlight w:val="none"/>
                <w:vertAlign w:val="baseline"/>
                <w:lang w:val="en-US" w:eastAsia="zh-CN" w:bidi="ar-SA"/>
              </w:rPr>
            </w:pPr>
            <w:r>
              <w:rPr>
                <w:rFonts w:hint="default" w:ascii="仿宋" w:hAnsi="仿宋" w:eastAsia="仿宋" w:cs="仿宋"/>
                <w:b/>
                <w:bCs/>
                <w:kern w:val="2"/>
                <w:sz w:val="28"/>
                <w:szCs w:val="28"/>
                <w:highlight w:val="none"/>
                <w:vertAlign w:val="baseline"/>
                <w:lang w:val="en-US" w:eastAsia="zh-CN" w:bidi="ar-SA"/>
              </w:rPr>
              <w:drawing>
                <wp:inline distT="0" distB="0" distL="114300" distR="114300">
                  <wp:extent cx="2750820" cy="1836420"/>
                  <wp:effectExtent l="0" t="0" r="11430" b="11430"/>
                  <wp:docPr id="19" name="图片 19" descr="DSC_285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SC_2852_看图王"/>
                          <pic:cNvPicPr>
                            <a:picLocks noChangeAspect="1"/>
                          </pic:cNvPicPr>
                        </pic:nvPicPr>
                        <pic:blipFill>
                          <a:blip r:embed="rId50"/>
                          <a:stretch>
                            <a:fillRect/>
                          </a:stretch>
                        </pic:blipFill>
                        <pic:spPr>
                          <a:xfrm>
                            <a:off x="0" y="0"/>
                            <a:ext cx="2750820" cy="18364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602" w:type="dxa"/>
          </w:tcPr>
          <w:p>
            <w:pPr>
              <w:pStyle w:val="2"/>
              <w:jc w:val="center"/>
              <w:rPr>
                <w:rFonts w:hint="default" w:ascii="仿宋" w:hAnsi="仿宋" w:eastAsia="仿宋" w:cs="仿宋"/>
                <w:b/>
                <w:bCs/>
                <w:kern w:val="2"/>
                <w:sz w:val="28"/>
                <w:szCs w:val="28"/>
                <w:highlight w:val="none"/>
                <w:vertAlign w:val="baseline"/>
                <w:lang w:val="en-US" w:eastAsia="zh-CN" w:bidi="ar-SA"/>
              </w:rPr>
            </w:pPr>
            <w:r>
              <w:rPr>
                <w:rFonts w:hint="eastAsia" w:ascii="仿宋" w:hAnsi="仿宋" w:eastAsia="仿宋" w:cs="仿宋"/>
                <w:b/>
                <w:bCs/>
                <w:kern w:val="2"/>
                <w:sz w:val="28"/>
                <w:szCs w:val="28"/>
                <w:highlight w:val="none"/>
                <w:vertAlign w:val="baseline"/>
                <w:lang w:val="en-US" w:eastAsia="zh-CN" w:bidi="ar-SA"/>
              </w:rPr>
              <w:t>文体活动</w:t>
            </w:r>
          </w:p>
        </w:tc>
        <w:tc>
          <w:tcPr>
            <w:tcW w:w="4602" w:type="dxa"/>
          </w:tcPr>
          <w:p>
            <w:pPr>
              <w:pStyle w:val="2"/>
              <w:jc w:val="center"/>
              <w:rPr>
                <w:rFonts w:hint="default" w:ascii="仿宋" w:hAnsi="仿宋" w:eastAsia="仿宋" w:cs="仿宋"/>
                <w:b/>
                <w:bCs/>
                <w:kern w:val="2"/>
                <w:sz w:val="28"/>
                <w:szCs w:val="28"/>
                <w:highlight w:val="none"/>
                <w:vertAlign w:val="baseline"/>
                <w:lang w:val="en-US" w:eastAsia="zh-CN" w:bidi="ar-SA"/>
              </w:rPr>
            </w:pPr>
            <w:r>
              <w:rPr>
                <w:rFonts w:hint="eastAsia" w:ascii="仿宋" w:hAnsi="仿宋" w:eastAsia="仿宋" w:cs="仿宋"/>
                <w:b/>
                <w:bCs/>
                <w:kern w:val="2"/>
                <w:sz w:val="28"/>
                <w:szCs w:val="28"/>
                <w:highlight w:val="none"/>
                <w:vertAlign w:val="baseline"/>
                <w:lang w:val="en-US" w:eastAsia="zh-CN" w:bidi="ar-SA"/>
              </w:rPr>
              <w:t>文体活动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9" w:hRule="atLeast"/>
        </w:trPr>
        <w:tc>
          <w:tcPr>
            <w:tcW w:w="4602" w:type="dxa"/>
          </w:tcPr>
          <w:p>
            <w:pPr>
              <w:pStyle w:val="2"/>
              <w:jc w:val="left"/>
              <w:rPr>
                <w:rFonts w:hint="default" w:ascii="仿宋" w:hAnsi="仿宋" w:eastAsia="仿宋" w:cs="仿宋"/>
                <w:b/>
                <w:bCs/>
                <w:kern w:val="2"/>
                <w:sz w:val="28"/>
                <w:szCs w:val="28"/>
                <w:highlight w:val="none"/>
                <w:vertAlign w:val="baseline"/>
                <w:lang w:val="en-US" w:eastAsia="zh-CN" w:bidi="ar-SA"/>
              </w:rPr>
            </w:pPr>
            <w:r>
              <w:rPr>
                <w:rFonts w:hint="default" w:ascii="仿宋" w:hAnsi="仿宋" w:eastAsia="仿宋" w:cs="仿宋"/>
                <w:b/>
                <w:bCs/>
                <w:kern w:val="2"/>
                <w:sz w:val="28"/>
                <w:szCs w:val="28"/>
                <w:highlight w:val="none"/>
                <w:vertAlign w:val="baseline"/>
                <w:lang w:val="en-US" w:eastAsia="zh-CN" w:bidi="ar-SA"/>
              </w:rPr>
              <w:drawing>
                <wp:inline distT="0" distB="0" distL="114300" distR="114300">
                  <wp:extent cx="2782570" cy="2058670"/>
                  <wp:effectExtent l="0" t="0" r="17780" b="17780"/>
                  <wp:docPr id="20" name="图片 20" descr="181968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819686911"/>
                          <pic:cNvPicPr>
                            <a:picLocks noChangeAspect="1"/>
                          </pic:cNvPicPr>
                        </pic:nvPicPr>
                        <pic:blipFill>
                          <a:blip r:embed="rId51"/>
                          <a:stretch>
                            <a:fillRect/>
                          </a:stretch>
                        </pic:blipFill>
                        <pic:spPr>
                          <a:xfrm>
                            <a:off x="0" y="0"/>
                            <a:ext cx="2782570" cy="2058670"/>
                          </a:xfrm>
                          <a:prstGeom prst="rect">
                            <a:avLst/>
                          </a:prstGeom>
                        </pic:spPr>
                      </pic:pic>
                    </a:graphicData>
                  </a:graphic>
                </wp:inline>
              </w:drawing>
            </w:r>
          </w:p>
        </w:tc>
        <w:tc>
          <w:tcPr>
            <w:tcW w:w="4602" w:type="dxa"/>
          </w:tcPr>
          <w:p>
            <w:pPr>
              <w:pStyle w:val="2"/>
              <w:jc w:val="left"/>
              <w:rPr>
                <w:rFonts w:hint="default" w:ascii="仿宋" w:hAnsi="仿宋" w:eastAsia="仿宋" w:cs="仿宋"/>
                <w:b/>
                <w:bCs/>
                <w:kern w:val="2"/>
                <w:sz w:val="28"/>
                <w:szCs w:val="28"/>
                <w:highlight w:val="none"/>
                <w:vertAlign w:val="baseline"/>
                <w:lang w:val="en-US" w:eastAsia="zh-CN" w:bidi="ar-SA"/>
              </w:rPr>
            </w:pPr>
            <w:r>
              <w:rPr>
                <w:rFonts w:hint="default" w:ascii="仿宋" w:hAnsi="仿宋" w:eastAsia="仿宋" w:cs="仿宋"/>
                <w:b/>
                <w:bCs/>
                <w:kern w:val="2"/>
                <w:sz w:val="28"/>
                <w:szCs w:val="28"/>
                <w:highlight w:val="none"/>
                <w:vertAlign w:val="baseline"/>
                <w:lang w:val="en-US" w:eastAsia="zh-CN" w:bidi="ar-SA"/>
              </w:rPr>
              <w:drawing>
                <wp:inline distT="0" distB="0" distL="114300" distR="114300">
                  <wp:extent cx="2765425" cy="2073910"/>
                  <wp:effectExtent l="0" t="0" r="15875" b="2540"/>
                  <wp:docPr id="21" name="图片 21" descr="3、县委老干部局为行动不便的离退休干部送学上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县委老干部局为行动不便的离退休干部送学上门"/>
                          <pic:cNvPicPr>
                            <a:picLocks noChangeAspect="1"/>
                          </pic:cNvPicPr>
                        </pic:nvPicPr>
                        <pic:blipFill>
                          <a:blip r:embed="rId52"/>
                          <a:stretch>
                            <a:fillRect/>
                          </a:stretch>
                        </pic:blipFill>
                        <pic:spPr>
                          <a:xfrm>
                            <a:off x="0" y="0"/>
                            <a:ext cx="2765425" cy="2073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4602" w:type="dxa"/>
          </w:tcPr>
          <w:p>
            <w:pPr>
              <w:pStyle w:val="2"/>
              <w:jc w:val="center"/>
              <w:rPr>
                <w:rFonts w:hint="default" w:ascii="仿宋" w:hAnsi="仿宋" w:eastAsia="仿宋" w:cs="仿宋"/>
                <w:b/>
                <w:bCs/>
                <w:kern w:val="2"/>
                <w:sz w:val="28"/>
                <w:szCs w:val="28"/>
                <w:highlight w:val="none"/>
                <w:vertAlign w:val="baseline"/>
                <w:lang w:val="en-US" w:eastAsia="zh-CN" w:bidi="ar-SA"/>
              </w:rPr>
            </w:pPr>
            <w:r>
              <w:rPr>
                <w:rFonts w:hint="eastAsia" w:ascii="仿宋" w:hAnsi="仿宋" w:eastAsia="仿宋" w:cs="仿宋"/>
                <w:b/>
                <w:bCs/>
                <w:kern w:val="2"/>
                <w:sz w:val="28"/>
                <w:szCs w:val="28"/>
                <w:highlight w:val="none"/>
                <w:vertAlign w:val="baseline"/>
                <w:lang w:val="en-US" w:eastAsia="zh-CN" w:bidi="ar-SA"/>
              </w:rPr>
              <w:t>文体活动</w:t>
            </w:r>
          </w:p>
        </w:tc>
        <w:tc>
          <w:tcPr>
            <w:tcW w:w="4602" w:type="dxa"/>
          </w:tcPr>
          <w:p>
            <w:pPr>
              <w:pStyle w:val="2"/>
              <w:jc w:val="center"/>
              <w:rPr>
                <w:rFonts w:hint="default" w:ascii="仿宋" w:hAnsi="仿宋" w:eastAsia="仿宋" w:cs="仿宋"/>
                <w:b/>
                <w:bCs/>
                <w:kern w:val="2"/>
                <w:sz w:val="28"/>
                <w:szCs w:val="28"/>
                <w:highlight w:val="none"/>
                <w:vertAlign w:val="baseline"/>
                <w:lang w:val="en-US" w:eastAsia="zh-CN" w:bidi="ar-SA"/>
              </w:rPr>
            </w:pPr>
            <w:r>
              <w:rPr>
                <w:rFonts w:hint="eastAsia" w:ascii="仿宋" w:hAnsi="仿宋" w:eastAsia="仿宋" w:cs="仿宋"/>
                <w:b/>
                <w:bCs/>
                <w:kern w:val="2"/>
                <w:sz w:val="28"/>
                <w:szCs w:val="28"/>
                <w:highlight w:val="none"/>
                <w:vertAlign w:val="baseline"/>
                <w:lang w:val="en-US" w:eastAsia="zh-CN" w:bidi="ar-SA"/>
              </w:rPr>
              <w:t>送学上门服务</w:t>
            </w:r>
          </w:p>
        </w:tc>
      </w:tr>
    </w:tbl>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sz w:val="28"/>
          <w:szCs w:val="28"/>
          <w:lang w:val="en-US" w:eastAsia="zh-CN"/>
        </w:rPr>
      </w:pPr>
    </w:p>
    <w:p>
      <w:pPr>
        <w:pStyle w:val="2"/>
        <w:rPr>
          <w:rFonts w:hint="default"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附件3-3</w:t>
      </w:r>
    </w:p>
    <w:p>
      <w:pPr>
        <w:pStyle w:val="2"/>
        <w:jc w:val="center"/>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反映项目绩效的照片</w:t>
      </w:r>
    </w:p>
    <w:p>
      <w:pPr>
        <w:pStyle w:val="2"/>
        <w:jc w:val="left"/>
        <w:rPr>
          <w:rFonts w:hint="default"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项目单位：临猗县老干部局</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1"/>
        <w:gridCol w:w="4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8"/>
                <w:szCs w:val="28"/>
                <w:vertAlign w:val="baseline"/>
                <w:lang w:val="en-US" w:eastAsia="zh-CN"/>
              </w:rPr>
            </w:pPr>
            <w:r>
              <w:rPr>
                <w:rFonts w:hint="default"/>
                <w:sz w:val="28"/>
                <w:szCs w:val="28"/>
                <w:vertAlign w:val="baseline"/>
                <w:lang w:val="en-US" w:eastAsia="zh-CN"/>
              </w:rPr>
              <w:drawing>
                <wp:inline distT="0" distB="0" distL="114300" distR="114300">
                  <wp:extent cx="2562860" cy="1922145"/>
                  <wp:effectExtent l="0" t="0" r="8890" b="1905"/>
                  <wp:docPr id="22" name="图片 22" descr="8、老干部上党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老干部上党课"/>
                          <pic:cNvPicPr>
                            <a:picLocks noChangeAspect="1"/>
                          </pic:cNvPicPr>
                        </pic:nvPicPr>
                        <pic:blipFill>
                          <a:blip r:embed="rId53"/>
                          <a:stretch>
                            <a:fillRect/>
                          </a:stretch>
                        </pic:blipFill>
                        <pic:spPr>
                          <a:xfrm>
                            <a:off x="0" y="0"/>
                            <a:ext cx="2562860" cy="1922145"/>
                          </a:xfrm>
                          <a:prstGeom prst="rect">
                            <a:avLst/>
                          </a:prstGeom>
                        </pic:spPr>
                      </pic:pic>
                    </a:graphicData>
                  </a:graphic>
                </wp:inline>
              </w:drawing>
            </w:r>
          </w:p>
        </w:tc>
        <w:tc>
          <w:tcPr>
            <w:tcW w:w="4261" w:type="dxa"/>
          </w:tcPr>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8"/>
                <w:szCs w:val="28"/>
                <w:vertAlign w:val="baseline"/>
                <w:lang w:val="en-US" w:eastAsia="zh-CN"/>
              </w:rPr>
            </w:pPr>
            <w:r>
              <w:rPr>
                <w:rFonts w:hint="default"/>
                <w:sz w:val="28"/>
                <w:szCs w:val="28"/>
                <w:vertAlign w:val="baseline"/>
                <w:lang w:val="en-US" w:eastAsia="zh-CN"/>
              </w:rPr>
              <w:drawing>
                <wp:inline distT="0" distB="0" distL="114300" distR="114300">
                  <wp:extent cx="2540000" cy="1905000"/>
                  <wp:effectExtent l="0" t="0" r="12700" b="0"/>
                  <wp:docPr id="23" name="图片 23" descr="DSC0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SC00945"/>
                          <pic:cNvPicPr>
                            <a:picLocks noChangeAspect="1"/>
                          </pic:cNvPicPr>
                        </pic:nvPicPr>
                        <pic:blipFill>
                          <a:blip r:embed="rId54"/>
                          <a:stretch>
                            <a:fillRect/>
                          </a:stretch>
                        </pic:blipFill>
                        <pic:spPr>
                          <a:xfrm>
                            <a:off x="0" y="0"/>
                            <a:ext cx="2540000" cy="1905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b/>
                <w:bCs/>
                <w:sz w:val="28"/>
                <w:szCs w:val="28"/>
                <w:vertAlign w:val="baseline"/>
                <w:lang w:val="en-US" w:eastAsia="zh-CN"/>
              </w:rPr>
            </w:pPr>
            <w:r>
              <w:rPr>
                <w:rFonts w:hint="eastAsia"/>
                <w:b/>
                <w:bCs/>
                <w:sz w:val="28"/>
                <w:szCs w:val="28"/>
                <w:vertAlign w:val="baseline"/>
                <w:lang w:val="en-US" w:eastAsia="zh-CN"/>
              </w:rPr>
              <w:t>老干部党课</w:t>
            </w:r>
          </w:p>
        </w:tc>
        <w:tc>
          <w:tcPr>
            <w:tcW w:w="4261"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b/>
                <w:bCs/>
                <w:sz w:val="28"/>
                <w:szCs w:val="28"/>
                <w:vertAlign w:val="baseline"/>
                <w:lang w:val="en-US" w:eastAsia="zh-CN"/>
              </w:rPr>
            </w:pPr>
            <w:r>
              <w:rPr>
                <w:rFonts w:hint="eastAsia"/>
                <w:b/>
                <w:bCs/>
                <w:sz w:val="28"/>
                <w:szCs w:val="28"/>
                <w:vertAlign w:val="baseline"/>
                <w:lang w:val="en-US" w:eastAsia="zh-CN"/>
              </w:rPr>
              <w:t>参观学习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8"/>
                <w:szCs w:val="28"/>
                <w:vertAlign w:val="baseline"/>
                <w:lang w:val="en-US" w:eastAsia="zh-CN"/>
              </w:rPr>
            </w:pPr>
            <w:r>
              <w:rPr>
                <w:rFonts w:hint="default"/>
                <w:sz w:val="28"/>
                <w:szCs w:val="28"/>
                <w:vertAlign w:val="baseline"/>
                <w:lang w:val="en-US" w:eastAsia="zh-CN"/>
              </w:rPr>
              <w:drawing>
                <wp:inline distT="0" distB="0" distL="114300" distR="114300">
                  <wp:extent cx="2591435" cy="1871980"/>
                  <wp:effectExtent l="0" t="0" r="18415" b="13970"/>
                  <wp:docPr id="24" name="图片 24" descr="DSC_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SC_2927"/>
                          <pic:cNvPicPr>
                            <a:picLocks noChangeAspect="1"/>
                          </pic:cNvPicPr>
                        </pic:nvPicPr>
                        <pic:blipFill>
                          <a:blip r:embed="rId55"/>
                          <a:stretch>
                            <a:fillRect/>
                          </a:stretch>
                        </pic:blipFill>
                        <pic:spPr>
                          <a:xfrm>
                            <a:off x="0" y="0"/>
                            <a:ext cx="2591435" cy="1871980"/>
                          </a:xfrm>
                          <a:prstGeom prst="rect">
                            <a:avLst/>
                          </a:prstGeom>
                        </pic:spPr>
                      </pic:pic>
                    </a:graphicData>
                  </a:graphic>
                </wp:inline>
              </w:drawing>
            </w:r>
          </w:p>
        </w:tc>
        <w:tc>
          <w:tcPr>
            <w:tcW w:w="4261" w:type="dxa"/>
          </w:tcPr>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8"/>
                <w:szCs w:val="28"/>
                <w:vertAlign w:val="baseline"/>
                <w:lang w:val="en-US" w:eastAsia="zh-CN"/>
              </w:rPr>
            </w:pPr>
            <w:r>
              <w:rPr>
                <w:rFonts w:hint="default"/>
                <w:sz w:val="28"/>
                <w:szCs w:val="28"/>
                <w:vertAlign w:val="baseline"/>
                <w:lang w:val="en-US" w:eastAsia="zh-CN"/>
              </w:rPr>
              <w:drawing>
                <wp:inline distT="0" distB="0" distL="114300" distR="114300">
                  <wp:extent cx="2516505" cy="1834515"/>
                  <wp:effectExtent l="0" t="0" r="17145" b="13335"/>
                  <wp:docPr id="26" name="图片 26" descr="微信图片_2020080609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00806093506"/>
                          <pic:cNvPicPr>
                            <a:picLocks noChangeAspect="1"/>
                          </pic:cNvPicPr>
                        </pic:nvPicPr>
                        <pic:blipFill>
                          <a:blip r:embed="rId56"/>
                          <a:stretch>
                            <a:fillRect/>
                          </a:stretch>
                        </pic:blipFill>
                        <pic:spPr>
                          <a:xfrm>
                            <a:off x="0" y="0"/>
                            <a:ext cx="2516505" cy="18345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1" w:type="dxa"/>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sz w:val="28"/>
                <w:szCs w:val="28"/>
                <w:vertAlign w:val="baseline"/>
                <w:lang w:val="en-US" w:eastAsia="zh-CN"/>
              </w:rPr>
            </w:pPr>
            <w:r>
              <w:rPr>
                <w:rFonts w:hint="eastAsia"/>
                <w:b/>
                <w:bCs/>
                <w:sz w:val="28"/>
                <w:szCs w:val="28"/>
                <w:vertAlign w:val="baseline"/>
                <w:lang w:val="en-US" w:eastAsia="zh-CN"/>
              </w:rPr>
              <w:t>学习培训</w:t>
            </w:r>
          </w:p>
        </w:tc>
        <w:tc>
          <w:tcPr>
            <w:tcW w:w="4261"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b/>
                <w:bCs/>
                <w:sz w:val="28"/>
                <w:szCs w:val="28"/>
                <w:vertAlign w:val="baseline"/>
                <w:lang w:val="en-US" w:eastAsia="zh-CN"/>
              </w:rPr>
            </w:pPr>
            <w:r>
              <w:rPr>
                <w:rFonts w:hint="eastAsia"/>
                <w:b/>
                <w:bCs/>
                <w:sz w:val="28"/>
                <w:szCs w:val="28"/>
                <w:vertAlign w:val="baseline"/>
                <w:lang w:val="en-US" w:eastAsia="zh-CN"/>
              </w:rPr>
              <w:t>右玉参观学习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8"/>
                <w:szCs w:val="28"/>
                <w:vertAlign w:val="baseline"/>
                <w:lang w:val="en-US" w:eastAsia="zh-CN"/>
              </w:rPr>
            </w:pPr>
            <w:r>
              <w:rPr>
                <w:rFonts w:hint="default"/>
                <w:sz w:val="28"/>
                <w:szCs w:val="28"/>
                <w:vertAlign w:val="baseline"/>
                <w:lang w:val="en-US" w:eastAsia="zh-CN"/>
              </w:rPr>
              <w:drawing>
                <wp:inline distT="0" distB="0" distL="114300" distR="114300">
                  <wp:extent cx="2516505" cy="2006600"/>
                  <wp:effectExtent l="0" t="0" r="17145" b="12700"/>
                  <wp:docPr id="27" name="图片 27" descr="微信图片_202010211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01021101055"/>
                          <pic:cNvPicPr>
                            <a:picLocks noChangeAspect="1"/>
                          </pic:cNvPicPr>
                        </pic:nvPicPr>
                        <pic:blipFill>
                          <a:blip r:embed="rId57"/>
                          <a:stretch>
                            <a:fillRect/>
                          </a:stretch>
                        </pic:blipFill>
                        <pic:spPr>
                          <a:xfrm>
                            <a:off x="0" y="0"/>
                            <a:ext cx="2516505" cy="2006600"/>
                          </a:xfrm>
                          <a:prstGeom prst="rect">
                            <a:avLst/>
                          </a:prstGeom>
                        </pic:spPr>
                      </pic:pic>
                    </a:graphicData>
                  </a:graphic>
                </wp:inline>
              </w:drawing>
            </w:r>
          </w:p>
        </w:tc>
        <w:tc>
          <w:tcPr>
            <w:tcW w:w="4261" w:type="dxa"/>
          </w:tcPr>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8"/>
                <w:szCs w:val="28"/>
                <w:vertAlign w:val="baseline"/>
                <w:lang w:val="en-US" w:eastAsia="zh-CN"/>
              </w:rPr>
            </w:pPr>
            <w:r>
              <w:rPr>
                <w:rFonts w:hint="default"/>
                <w:sz w:val="28"/>
                <w:szCs w:val="28"/>
                <w:vertAlign w:val="baseline"/>
                <w:lang w:val="en-US" w:eastAsia="zh-CN"/>
              </w:rPr>
              <w:drawing>
                <wp:inline distT="0" distB="0" distL="114300" distR="114300">
                  <wp:extent cx="2562860" cy="2068830"/>
                  <wp:effectExtent l="0" t="0" r="8890" b="7620"/>
                  <wp:docPr id="28" name="图片 28" descr="微信图片_2020111212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01112125419"/>
                          <pic:cNvPicPr>
                            <a:picLocks noChangeAspect="1"/>
                          </pic:cNvPicPr>
                        </pic:nvPicPr>
                        <pic:blipFill>
                          <a:blip r:embed="rId58"/>
                          <a:stretch>
                            <a:fillRect/>
                          </a:stretch>
                        </pic:blipFill>
                        <pic:spPr>
                          <a:xfrm>
                            <a:off x="0" y="0"/>
                            <a:ext cx="2562860" cy="20688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b/>
                <w:bCs/>
                <w:sz w:val="28"/>
                <w:szCs w:val="28"/>
                <w:vertAlign w:val="baseline"/>
                <w:lang w:val="en-US" w:eastAsia="zh-CN"/>
              </w:rPr>
            </w:pPr>
            <w:r>
              <w:rPr>
                <w:rFonts w:hint="eastAsia"/>
                <w:b/>
                <w:bCs/>
                <w:sz w:val="28"/>
                <w:szCs w:val="28"/>
                <w:vertAlign w:val="baseline"/>
                <w:lang w:val="en-US" w:eastAsia="zh-CN"/>
              </w:rPr>
              <w:t>老干部情况通报会</w:t>
            </w:r>
          </w:p>
        </w:tc>
        <w:tc>
          <w:tcPr>
            <w:tcW w:w="4261"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b/>
                <w:bCs/>
                <w:sz w:val="28"/>
                <w:szCs w:val="28"/>
                <w:vertAlign w:val="baseline"/>
                <w:lang w:val="en-US" w:eastAsia="zh-CN"/>
              </w:rPr>
            </w:pPr>
            <w:r>
              <w:rPr>
                <w:rFonts w:hint="eastAsia"/>
                <w:b/>
                <w:bCs/>
                <w:sz w:val="28"/>
                <w:szCs w:val="28"/>
                <w:vertAlign w:val="baseline"/>
                <w:lang w:val="en-US" w:eastAsia="zh-CN"/>
              </w:rPr>
              <w:t>2020年果博会</w:t>
            </w:r>
          </w:p>
        </w:tc>
      </w:tr>
    </w:tbl>
    <w:p>
      <w:pPr>
        <w:pStyle w:val="2"/>
        <w:rPr>
          <w:rFonts w:hint="eastAsia" w:ascii="仿宋" w:hAnsi="仿宋" w:eastAsia="仿宋" w:cs="仿宋"/>
          <w:b w:val="0"/>
          <w:bCs w:val="0"/>
          <w:kern w:val="2"/>
          <w:sz w:val="24"/>
          <w:szCs w:val="24"/>
          <w:highlight w:val="none"/>
          <w:lang w:val="en-US" w:eastAsia="zh-CN" w:bidi="ar-SA"/>
        </w:rPr>
      </w:pPr>
    </w:p>
    <w:p>
      <w:pPr>
        <w:pStyle w:val="2"/>
        <w:rPr>
          <w:rFonts w:hint="eastAsia" w:ascii="仿宋" w:hAnsi="仿宋" w:eastAsia="仿宋" w:cs="仿宋"/>
          <w:b w:val="0"/>
          <w:bCs w:val="0"/>
          <w:kern w:val="2"/>
          <w:sz w:val="24"/>
          <w:szCs w:val="24"/>
          <w:highlight w:val="none"/>
          <w:lang w:val="en-US" w:eastAsia="zh-CN" w:bidi="ar-SA"/>
        </w:rPr>
      </w:pPr>
    </w:p>
    <w:p>
      <w:pPr>
        <w:pStyle w:val="2"/>
        <w:rPr>
          <w:rFonts w:hint="eastAsia" w:ascii="仿宋" w:hAnsi="仿宋" w:eastAsia="仿宋" w:cs="仿宋"/>
          <w:b w:val="0"/>
          <w:bCs w:val="0"/>
          <w:kern w:val="2"/>
          <w:sz w:val="24"/>
          <w:szCs w:val="24"/>
          <w:highlight w:val="none"/>
          <w:lang w:val="en-US" w:eastAsia="zh-CN" w:bidi="ar-SA"/>
        </w:rPr>
      </w:pPr>
    </w:p>
    <w:p>
      <w:pPr>
        <w:pStyle w:val="2"/>
        <w:rPr>
          <w:rFonts w:hint="default"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附件3-4</w:t>
      </w:r>
    </w:p>
    <w:p>
      <w:pPr>
        <w:pStyle w:val="2"/>
        <w:jc w:val="center"/>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反映项目绩效的照片</w:t>
      </w:r>
    </w:p>
    <w:p>
      <w:pPr>
        <w:pStyle w:val="2"/>
        <w:jc w:val="left"/>
        <w:rPr>
          <w:rFonts w:hint="default" w:ascii="仿宋" w:hAnsi="仿宋" w:eastAsia="仿宋" w:cs="仿宋"/>
          <w:b/>
          <w:bCs/>
          <w:kern w:val="2"/>
          <w:sz w:val="24"/>
          <w:szCs w:val="24"/>
          <w:highlight w:val="none"/>
          <w:lang w:val="en-US" w:eastAsia="zh-CN" w:bidi="ar-SA"/>
        </w:rPr>
      </w:pPr>
      <w:r>
        <w:rPr>
          <w:rFonts w:hint="eastAsia" w:ascii="仿宋" w:hAnsi="仿宋" w:eastAsia="仿宋" w:cs="仿宋"/>
          <w:b/>
          <w:bCs/>
          <w:kern w:val="2"/>
          <w:sz w:val="24"/>
          <w:szCs w:val="24"/>
          <w:highlight w:val="none"/>
          <w:lang w:val="en-US" w:eastAsia="zh-CN" w:bidi="ar-SA"/>
        </w:rPr>
        <w:t>项目单位：临猗县老干部局</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8"/>
                <w:szCs w:val="28"/>
                <w:vertAlign w:val="baseline"/>
                <w:lang w:val="en-US" w:eastAsia="zh-CN"/>
              </w:rPr>
            </w:pPr>
            <w:r>
              <w:rPr>
                <w:rFonts w:hint="default"/>
                <w:sz w:val="28"/>
                <w:szCs w:val="28"/>
                <w:vertAlign w:val="baseline"/>
                <w:lang w:val="en-US" w:eastAsia="zh-CN"/>
              </w:rPr>
              <w:drawing>
                <wp:inline distT="0" distB="0" distL="114300" distR="114300">
                  <wp:extent cx="2562860" cy="2073910"/>
                  <wp:effectExtent l="0" t="0" r="8890" b="2540"/>
                  <wp:docPr id="29" name="图片 29" descr="微信图片_2021092511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10925112846"/>
                          <pic:cNvPicPr>
                            <a:picLocks noChangeAspect="1"/>
                          </pic:cNvPicPr>
                        </pic:nvPicPr>
                        <pic:blipFill>
                          <a:blip r:embed="rId59"/>
                          <a:stretch>
                            <a:fillRect/>
                          </a:stretch>
                        </pic:blipFill>
                        <pic:spPr>
                          <a:xfrm>
                            <a:off x="0" y="0"/>
                            <a:ext cx="2562860" cy="2073910"/>
                          </a:xfrm>
                          <a:prstGeom prst="rect">
                            <a:avLst/>
                          </a:prstGeom>
                        </pic:spPr>
                      </pic:pic>
                    </a:graphicData>
                  </a:graphic>
                </wp:inline>
              </w:drawing>
            </w:r>
          </w:p>
        </w:tc>
        <w:tc>
          <w:tcPr>
            <w:tcW w:w="4261" w:type="dxa"/>
          </w:tcPr>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8"/>
                <w:szCs w:val="28"/>
                <w:vertAlign w:val="baseline"/>
                <w:lang w:val="en-US" w:eastAsia="zh-CN"/>
              </w:rPr>
            </w:pPr>
            <w:r>
              <w:rPr>
                <w:rFonts w:hint="default"/>
                <w:sz w:val="28"/>
                <w:szCs w:val="28"/>
                <w:vertAlign w:val="baseline"/>
                <w:lang w:val="en-US" w:eastAsia="zh-CN"/>
              </w:rPr>
              <w:drawing>
                <wp:inline distT="0" distB="0" distL="114300" distR="114300">
                  <wp:extent cx="2562860" cy="2090420"/>
                  <wp:effectExtent l="0" t="0" r="8890" b="5080"/>
                  <wp:docPr id="30" name="图片 30" descr="微信图片_2021092511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10925112853"/>
                          <pic:cNvPicPr>
                            <a:picLocks noChangeAspect="1"/>
                          </pic:cNvPicPr>
                        </pic:nvPicPr>
                        <pic:blipFill>
                          <a:blip r:embed="rId60"/>
                          <a:stretch>
                            <a:fillRect/>
                          </a:stretch>
                        </pic:blipFill>
                        <pic:spPr>
                          <a:xfrm>
                            <a:off x="0" y="0"/>
                            <a:ext cx="2562860" cy="20904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b/>
                <w:bCs/>
                <w:sz w:val="28"/>
                <w:szCs w:val="28"/>
                <w:vertAlign w:val="baseline"/>
                <w:lang w:val="en-US" w:eastAsia="zh-CN"/>
              </w:rPr>
            </w:pPr>
            <w:r>
              <w:rPr>
                <w:rFonts w:hint="eastAsia"/>
                <w:b/>
                <w:bCs/>
                <w:sz w:val="28"/>
                <w:szCs w:val="28"/>
                <w:vertAlign w:val="baseline"/>
                <w:lang w:val="en-US" w:eastAsia="zh-CN"/>
              </w:rPr>
              <w:t>老干部活动中心（老年大学）</w:t>
            </w:r>
          </w:p>
        </w:tc>
        <w:tc>
          <w:tcPr>
            <w:tcW w:w="4261"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b/>
                <w:bCs/>
                <w:sz w:val="28"/>
                <w:szCs w:val="28"/>
                <w:vertAlign w:val="baseline"/>
                <w:lang w:val="en-US" w:eastAsia="zh-CN"/>
              </w:rPr>
            </w:pPr>
            <w:r>
              <w:rPr>
                <w:rFonts w:hint="eastAsia"/>
                <w:b/>
                <w:bCs/>
                <w:sz w:val="28"/>
                <w:szCs w:val="28"/>
                <w:vertAlign w:val="baseline"/>
                <w:lang w:val="en-US" w:eastAsia="zh-CN"/>
              </w:rPr>
              <w:t>楼面刷漆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8"/>
                <w:szCs w:val="28"/>
                <w:vertAlign w:val="baseline"/>
                <w:lang w:val="en-US" w:eastAsia="zh-CN"/>
              </w:rPr>
            </w:pPr>
            <w:r>
              <w:rPr>
                <w:rFonts w:hint="default"/>
                <w:sz w:val="28"/>
                <w:szCs w:val="28"/>
                <w:vertAlign w:val="baseline"/>
                <w:lang w:val="en-US" w:eastAsia="zh-CN"/>
              </w:rPr>
              <w:drawing>
                <wp:inline distT="0" distB="0" distL="114300" distR="114300">
                  <wp:extent cx="2562860" cy="2166620"/>
                  <wp:effectExtent l="0" t="0" r="8890" b="5080"/>
                  <wp:docPr id="106" name="图片 106" descr="微信图片_2021092511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微信图片_20210925112857"/>
                          <pic:cNvPicPr>
                            <a:picLocks noChangeAspect="1"/>
                          </pic:cNvPicPr>
                        </pic:nvPicPr>
                        <pic:blipFill>
                          <a:blip r:embed="rId61"/>
                          <a:stretch>
                            <a:fillRect/>
                          </a:stretch>
                        </pic:blipFill>
                        <pic:spPr>
                          <a:xfrm>
                            <a:off x="0" y="0"/>
                            <a:ext cx="2562860" cy="2166620"/>
                          </a:xfrm>
                          <a:prstGeom prst="rect">
                            <a:avLst/>
                          </a:prstGeom>
                        </pic:spPr>
                      </pic:pic>
                    </a:graphicData>
                  </a:graphic>
                </wp:inline>
              </w:drawing>
            </w:r>
          </w:p>
        </w:tc>
        <w:tc>
          <w:tcPr>
            <w:tcW w:w="4261" w:type="dxa"/>
          </w:tcPr>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8"/>
                <w:szCs w:val="28"/>
                <w:vertAlign w:val="baseline"/>
                <w:lang w:val="en-US" w:eastAsia="zh-CN"/>
              </w:rPr>
            </w:pPr>
            <w:r>
              <w:rPr>
                <w:rFonts w:hint="default"/>
                <w:sz w:val="28"/>
                <w:szCs w:val="28"/>
                <w:vertAlign w:val="baseline"/>
                <w:lang w:val="en-US" w:eastAsia="zh-CN"/>
              </w:rPr>
              <w:drawing>
                <wp:inline distT="0" distB="0" distL="114300" distR="114300">
                  <wp:extent cx="2562860" cy="2101215"/>
                  <wp:effectExtent l="0" t="0" r="8890" b="13335"/>
                  <wp:docPr id="107" name="图片 107" descr="微信图片_2021092511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10925112900"/>
                          <pic:cNvPicPr>
                            <a:picLocks noChangeAspect="1"/>
                          </pic:cNvPicPr>
                        </pic:nvPicPr>
                        <pic:blipFill>
                          <a:blip r:embed="rId62"/>
                          <a:stretch>
                            <a:fillRect/>
                          </a:stretch>
                        </pic:blipFill>
                        <pic:spPr>
                          <a:xfrm>
                            <a:off x="0" y="0"/>
                            <a:ext cx="2562860" cy="21012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b/>
                <w:bCs/>
                <w:sz w:val="28"/>
                <w:szCs w:val="28"/>
                <w:vertAlign w:val="baseline"/>
                <w:lang w:val="en-US" w:eastAsia="zh-CN"/>
              </w:rPr>
            </w:pPr>
            <w:r>
              <w:rPr>
                <w:rFonts w:hint="eastAsia"/>
                <w:b/>
                <w:bCs/>
                <w:sz w:val="28"/>
                <w:szCs w:val="28"/>
                <w:vertAlign w:val="baseline"/>
                <w:lang w:val="en-US" w:eastAsia="zh-CN"/>
              </w:rPr>
              <w:t>室内刷漆</w:t>
            </w:r>
          </w:p>
        </w:tc>
        <w:tc>
          <w:tcPr>
            <w:tcW w:w="4261"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b/>
                <w:bCs/>
                <w:sz w:val="28"/>
                <w:szCs w:val="28"/>
                <w:vertAlign w:val="baseline"/>
                <w:lang w:val="en-US" w:eastAsia="zh-CN"/>
              </w:rPr>
            </w:pPr>
            <w:r>
              <w:rPr>
                <w:rFonts w:hint="eastAsia"/>
                <w:b/>
                <w:bCs/>
                <w:sz w:val="28"/>
                <w:szCs w:val="28"/>
                <w:vertAlign w:val="baseline"/>
                <w:lang w:val="en-US" w:eastAsia="zh-CN"/>
              </w:rPr>
              <w:t>健身室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8"/>
                <w:szCs w:val="28"/>
                <w:vertAlign w:val="baseline"/>
                <w:lang w:val="en-US" w:eastAsia="zh-CN"/>
              </w:rPr>
            </w:pPr>
            <w:r>
              <w:rPr>
                <w:rFonts w:hint="default"/>
                <w:sz w:val="28"/>
                <w:szCs w:val="28"/>
                <w:vertAlign w:val="baseline"/>
                <w:lang w:val="en-US" w:eastAsia="zh-CN"/>
              </w:rPr>
              <w:drawing>
                <wp:inline distT="0" distB="0" distL="114300" distR="114300">
                  <wp:extent cx="2562860" cy="2117725"/>
                  <wp:effectExtent l="0" t="0" r="8890" b="15875"/>
                  <wp:docPr id="108" name="图片 108" descr="微信图片_202109251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图片_20210925112902"/>
                          <pic:cNvPicPr>
                            <a:picLocks noChangeAspect="1"/>
                          </pic:cNvPicPr>
                        </pic:nvPicPr>
                        <pic:blipFill>
                          <a:blip r:embed="rId63"/>
                          <a:stretch>
                            <a:fillRect/>
                          </a:stretch>
                        </pic:blipFill>
                        <pic:spPr>
                          <a:xfrm>
                            <a:off x="0" y="0"/>
                            <a:ext cx="2562860" cy="2117725"/>
                          </a:xfrm>
                          <a:prstGeom prst="rect">
                            <a:avLst/>
                          </a:prstGeom>
                        </pic:spPr>
                      </pic:pic>
                    </a:graphicData>
                  </a:graphic>
                </wp:inline>
              </w:drawing>
            </w:r>
          </w:p>
        </w:tc>
        <w:tc>
          <w:tcPr>
            <w:tcW w:w="4261" w:type="dxa"/>
          </w:tcPr>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8"/>
                <w:szCs w:val="28"/>
                <w:vertAlign w:val="baseline"/>
                <w:lang w:val="en-US" w:eastAsia="zh-CN"/>
              </w:rPr>
            </w:pPr>
            <w:r>
              <w:rPr>
                <w:rFonts w:hint="default"/>
                <w:sz w:val="28"/>
                <w:szCs w:val="28"/>
                <w:vertAlign w:val="baseline"/>
                <w:lang w:val="en-US" w:eastAsia="zh-CN"/>
              </w:rPr>
              <w:drawing>
                <wp:inline distT="0" distB="0" distL="114300" distR="114300">
                  <wp:extent cx="2562860" cy="2096135"/>
                  <wp:effectExtent l="0" t="0" r="8890" b="18415"/>
                  <wp:docPr id="109" name="图片 109" descr="微信图片_2021092511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微信图片_20210925113246"/>
                          <pic:cNvPicPr>
                            <a:picLocks noChangeAspect="1"/>
                          </pic:cNvPicPr>
                        </pic:nvPicPr>
                        <pic:blipFill>
                          <a:blip r:embed="rId64"/>
                          <a:stretch>
                            <a:fillRect/>
                          </a:stretch>
                        </pic:blipFill>
                        <pic:spPr>
                          <a:xfrm>
                            <a:off x="0" y="0"/>
                            <a:ext cx="2562860" cy="20961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b/>
                <w:bCs/>
                <w:sz w:val="28"/>
                <w:szCs w:val="28"/>
                <w:vertAlign w:val="baseline"/>
                <w:lang w:val="en-US" w:eastAsia="zh-CN"/>
              </w:rPr>
            </w:pPr>
            <w:r>
              <w:rPr>
                <w:rFonts w:hint="eastAsia"/>
                <w:b/>
                <w:bCs/>
                <w:sz w:val="28"/>
                <w:szCs w:val="28"/>
                <w:vertAlign w:val="baseline"/>
                <w:lang w:val="en-US" w:eastAsia="zh-CN"/>
              </w:rPr>
              <w:t>老干部党支部</w:t>
            </w:r>
          </w:p>
        </w:tc>
        <w:tc>
          <w:tcPr>
            <w:tcW w:w="4261" w:type="dxa"/>
          </w:tcPr>
          <w:p>
            <w:pPr>
              <w:pStyle w:val="2"/>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default"/>
                <w:b/>
                <w:bCs/>
                <w:sz w:val="28"/>
                <w:szCs w:val="28"/>
                <w:vertAlign w:val="baseline"/>
                <w:lang w:val="en-US" w:eastAsia="zh-CN"/>
              </w:rPr>
            </w:pPr>
            <w:r>
              <w:rPr>
                <w:rFonts w:hint="eastAsia"/>
                <w:b/>
                <w:bCs/>
                <w:sz w:val="28"/>
                <w:szCs w:val="28"/>
                <w:vertAlign w:val="baseline"/>
                <w:lang w:val="en-US" w:eastAsia="zh-CN"/>
              </w:rPr>
              <w:t>老年大学教室</w:t>
            </w:r>
          </w:p>
        </w:tc>
      </w:tr>
    </w:tbl>
    <w:p>
      <w:pPr>
        <w:pStyle w:val="2"/>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rPr>
          <w:rFonts w:hint="default"/>
          <w:sz w:val="28"/>
          <w:szCs w:val="28"/>
          <w:lang w:val="en-US" w:eastAsia="zh-CN"/>
        </w:rPr>
      </w:pPr>
    </w:p>
    <w:p>
      <w:pPr>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rPr>
          <w:rFonts w:hint="default" w:ascii="仿宋" w:hAnsi="仿宋" w:eastAsia="仿宋" w:cs="仿宋"/>
          <w:b w:val="0"/>
          <w:bCs w:val="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附件4</w:t>
      </w:r>
    </w:p>
    <w:p>
      <w:pPr>
        <w:pStyle w:val="2"/>
        <w:jc w:val="center"/>
        <w:rPr>
          <w:rFonts w:hint="default" w:ascii="仿宋" w:hAnsi="仿宋" w:eastAsia="仿宋" w:cs="仿宋"/>
          <w:b/>
          <w:bCs/>
          <w:kern w:val="2"/>
          <w:sz w:val="28"/>
          <w:szCs w:val="28"/>
          <w:highlight w:val="none"/>
          <w:lang w:val="en-US" w:eastAsia="zh-CN" w:bidi="ar-SA"/>
        </w:rPr>
      </w:pPr>
      <w:r>
        <w:rPr>
          <w:rFonts w:hint="default" w:ascii="仿宋" w:hAnsi="仿宋" w:eastAsia="仿宋" w:cs="仿宋"/>
          <w:b/>
          <w:bCs/>
          <w:kern w:val="2"/>
          <w:sz w:val="28"/>
          <w:szCs w:val="28"/>
          <w:highlight w:val="none"/>
          <w:lang w:val="en-US" w:eastAsia="zh-CN" w:bidi="ar-SA"/>
        </w:rPr>
        <w:t>整体支出绩效评价合规性检查</w:t>
      </w:r>
    </w:p>
    <w:p>
      <w:pPr>
        <w:pStyle w:val="3"/>
        <w:keepNext w:val="0"/>
        <w:keepLines w:val="0"/>
        <w:pageBreakBefore w:val="0"/>
        <w:widowControl w:val="0"/>
        <w:kinsoku/>
        <w:wordWrap/>
        <w:overflowPunct/>
        <w:topLinePunct w:val="0"/>
        <w:autoSpaceDE/>
        <w:autoSpaceDN/>
        <w:bidi w:val="0"/>
        <w:adjustRightInd/>
        <w:snapToGrid/>
        <w:spacing w:before="0" w:beforeAutospacing="0" w:line="360" w:lineRule="auto"/>
        <w:ind w:left="0" w:leftChars="0" w:right="1470" w:firstLine="562" w:firstLineChars="200"/>
        <w:textAlignment w:val="auto"/>
        <w:rPr>
          <w:rFonts w:hint="eastAsia" w:ascii="仿宋" w:hAnsi="仿宋" w:eastAsia="仿宋" w:cs="仿宋"/>
          <w:b/>
          <w:bCs w:val="0"/>
          <w:kern w:val="2"/>
          <w:sz w:val="28"/>
          <w:szCs w:val="28"/>
          <w:lang w:val="en-US" w:eastAsia="zh-CN" w:bidi="ar"/>
        </w:rPr>
      </w:pPr>
      <w:r>
        <w:rPr>
          <w:rFonts w:hint="eastAsia" w:ascii="仿宋" w:hAnsi="仿宋" w:eastAsia="仿宋" w:cs="仿宋"/>
          <w:b/>
          <w:bCs w:val="0"/>
          <w:kern w:val="2"/>
          <w:sz w:val="28"/>
          <w:szCs w:val="28"/>
          <w:lang w:val="en-US" w:eastAsia="zh-CN" w:bidi="ar"/>
        </w:rPr>
        <w:t>一、合规性检查对象</w:t>
      </w:r>
    </w:p>
    <w:p>
      <w:pPr>
        <w:spacing w:line="360" w:lineRule="auto"/>
        <w:ind w:firstLine="560" w:firstLineChars="200"/>
        <w:rPr>
          <w:rFonts w:hint="default" w:ascii="仿宋" w:hAnsi="仿宋" w:eastAsia="仿宋" w:cs="仿宋"/>
          <w:bCs/>
          <w:sz w:val="28"/>
          <w:szCs w:val="28"/>
          <w:highlight w:val="none"/>
          <w:lang w:val="en-US" w:eastAsia="zh-CN" w:bidi="ar"/>
        </w:rPr>
      </w:pPr>
      <w:r>
        <w:rPr>
          <w:rFonts w:hint="eastAsia" w:ascii="仿宋" w:hAnsi="仿宋" w:eastAsia="仿宋" w:cs="仿宋"/>
          <w:bCs/>
          <w:kern w:val="2"/>
          <w:sz w:val="28"/>
          <w:szCs w:val="28"/>
          <w:lang w:val="en-US" w:eastAsia="zh-CN" w:bidi="ar"/>
        </w:rPr>
        <w:t>本次绩效评价整体支出合规性检查对象为</w:t>
      </w:r>
      <w:r>
        <w:rPr>
          <w:rFonts w:hint="eastAsia" w:ascii="仿宋" w:hAnsi="仿宋" w:eastAsia="仿宋" w:cs="仿宋"/>
          <w:bCs/>
          <w:sz w:val="28"/>
          <w:szCs w:val="28"/>
          <w:highlight w:val="none"/>
          <w:lang w:eastAsia="zh-CN" w:bidi="ar"/>
        </w:rPr>
        <w:t>临猗县老干部局</w:t>
      </w:r>
      <w:r>
        <w:rPr>
          <w:rFonts w:hint="eastAsia" w:ascii="仿宋" w:hAnsi="仿宋" w:eastAsia="仿宋" w:cs="仿宋"/>
          <w:bCs/>
          <w:sz w:val="28"/>
          <w:szCs w:val="28"/>
          <w:highlight w:val="none"/>
          <w:lang w:val="en-US" w:eastAsia="zh-CN" w:bidi="ar"/>
        </w:rPr>
        <w:t>2020年整体支出资金</w:t>
      </w:r>
      <w:r>
        <w:rPr>
          <w:rFonts w:hint="eastAsia" w:ascii="仿宋" w:hAnsi="仿宋" w:eastAsia="仿宋" w:cs="仿宋"/>
          <w:color w:val="000000"/>
          <w:kern w:val="0"/>
          <w:sz w:val="28"/>
          <w:szCs w:val="28"/>
          <w:highlight w:val="none"/>
          <w:shd w:val="clear" w:color="auto" w:fill="FFFFFF"/>
          <w:lang w:val="en-US" w:eastAsia="zh-CN"/>
        </w:rPr>
        <w:t>2,602,076.83</w:t>
      </w:r>
      <w:r>
        <w:rPr>
          <w:rFonts w:hint="eastAsia" w:ascii="仿宋" w:hAnsi="仿宋" w:eastAsia="仿宋" w:cs="仿宋"/>
          <w:sz w:val="28"/>
          <w:szCs w:val="28"/>
          <w:highlight w:val="none"/>
          <w:lang w:val="en-US" w:eastAsia="zh-CN"/>
        </w:rPr>
        <w:t>元</w:t>
      </w:r>
      <w:r>
        <w:rPr>
          <w:rFonts w:hint="eastAsia" w:ascii="仿宋" w:hAnsi="仿宋" w:eastAsia="仿宋" w:cs="仿宋"/>
          <w:bCs/>
          <w:sz w:val="28"/>
          <w:szCs w:val="28"/>
          <w:highlight w:val="none"/>
          <w:lang w:val="en-US" w:eastAsia="zh-CN" w:bidi="ar"/>
        </w:rPr>
        <w:t>的收支及结余情况。</w:t>
      </w:r>
    </w:p>
    <w:p>
      <w:pPr>
        <w:spacing w:line="360" w:lineRule="auto"/>
        <w:ind w:firstLine="562" w:firstLineChars="200"/>
        <w:rPr>
          <w:rFonts w:hint="default" w:ascii="仿宋" w:hAnsi="仿宋" w:eastAsia="仿宋" w:cs="仿宋"/>
          <w:b/>
          <w:bCs w:val="0"/>
          <w:kern w:val="2"/>
          <w:sz w:val="28"/>
          <w:szCs w:val="28"/>
          <w:lang w:val="en-US" w:eastAsia="zh-CN" w:bidi="ar"/>
        </w:rPr>
      </w:pPr>
      <w:r>
        <w:rPr>
          <w:rFonts w:hint="eastAsia" w:ascii="仿宋" w:hAnsi="仿宋" w:eastAsia="仿宋" w:cs="仿宋"/>
          <w:b/>
          <w:bCs w:val="0"/>
          <w:kern w:val="2"/>
          <w:sz w:val="28"/>
          <w:szCs w:val="28"/>
          <w:lang w:val="en-US" w:eastAsia="zh-CN" w:bidi="ar"/>
        </w:rPr>
        <w:t>二、合规性检查内容及结果</w:t>
      </w:r>
    </w:p>
    <w:p>
      <w:pPr>
        <w:spacing w:line="360" w:lineRule="auto"/>
        <w:ind w:firstLine="560" w:firstLineChars="200"/>
        <w:rPr>
          <w:rFonts w:hint="eastAsia" w:ascii="仿宋" w:hAnsi="仿宋" w:eastAsia="仿宋" w:cs="仿宋"/>
          <w:bCs/>
          <w:kern w:val="2"/>
          <w:sz w:val="28"/>
          <w:szCs w:val="28"/>
          <w:lang w:val="en-US" w:eastAsia="zh-CN" w:bidi="ar"/>
        </w:rPr>
      </w:pPr>
      <w:r>
        <w:rPr>
          <w:rFonts w:hint="eastAsia" w:ascii="仿宋" w:hAnsi="仿宋" w:eastAsia="仿宋" w:cs="仿宋"/>
          <w:bCs/>
          <w:kern w:val="2"/>
          <w:sz w:val="28"/>
          <w:szCs w:val="28"/>
          <w:lang w:val="en-US" w:eastAsia="zh-CN" w:bidi="ar"/>
        </w:rPr>
        <w:t>本次绩效评价合规性检查内容包括收支分析、结余情况分析、近年预算变动分析。内容如下：</w:t>
      </w:r>
    </w:p>
    <w:p>
      <w:pPr>
        <w:keepNext w:val="0"/>
        <w:keepLines w:val="0"/>
        <w:pageBreakBefore w:val="0"/>
        <w:widowControl w:val="0"/>
        <w:kinsoku/>
        <w:wordWrap/>
        <w:overflowPunct/>
        <w:topLinePunct w:val="0"/>
        <w:autoSpaceDE/>
        <w:autoSpaceDN/>
        <w:bidi w:val="0"/>
        <w:spacing w:line="240" w:lineRule="auto"/>
        <w:ind w:firstLine="562" w:firstLineChars="200"/>
        <w:textAlignment w:val="auto"/>
        <w:rPr>
          <w:rFonts w:hint="eastAsia" w:ascii="仿宋_GB2312" w:hAnsi="Times New Roman" w:eastAsia="仿宋_GB2312" w:cs="Times New Roman"/>
          <w:b/>
          <w:bCs/>
          <w:kern w:val="2"/>
          <w:sz w:val="28"/>
          <w:szCs w:val="28"/>
          <w:highlight w:val="none"/>
          <w:lang w:val="en-US" w:eastAsia="zh-CN" w:bidi="ar-SA"/>
        </w:rPr>
      </w:pPr>
      <w:r>
        <w:rPr>
          <w:rFonts w:hint="eastAsia" w:ascii="仿宋_GB2312" w:hAnsi="Times New Roman" w:eastAsia="仿宋_GB2312" w:cs="Times New Roman"/>
          <w:b/>
          <w:bCs/>
          <w:kern w:val="2"/>
          <w:sz w:val="28"/>
          <w:szCs w:val="28"/>
          <w:highlight w:val="none"/>
          <w:lang w:val="en-US" w:eastAsia="zh-CN" w:bidi="ar-SA"/>
        </w:rPr>
        <w:t>1.预算批复情况</w:t>
      </w:r>
    </w:p>
    <w:p>
      <w:pPr>
        <w:pStyle w:val="2"/>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cs="Times New Roman"/>
          <w:b w:val="0"/>
          <w:bCs w:val="0"/>
          <w:kern w:val="2"/>
          <w:sz w:val="28"/>
          <w:szCs w:val="28"/>
          <w:highlight w:val="none"/>
          <w:lang w:val="en-US" w:eastAsia="zh-CN" w:bidi="ar-SA"/>
        </w:rPr>
      </w:pPr>
      <w:r>
        <w:rPr>
          <w:rFonts w:hint="eastAsia" w:ascii="仿宋" w:hAnsi="仿宋" w:eastAsia="仿宋" w:cs="仿宋"/>
          <w:b w:val="0"/>
          <w:bCs w:val="0"/>
          <w:color w:val="000000"/>
          <w:kern w:val="0"/>
          <w:sz w:val="28"/>
          <w:szCs w:val="28"/>
          <w:highlight w:val="none"/>
          <w:shd w:val="clear" w:color="auto" w:fill="FFFFFF"/>
          <w:lang w:val="en-US" w:eastAsia="zh-CN"/>
        </w:rPr>
        <w:t>2020年4月28日临猗县财政局以临财预指〔2020〕001号文件批复临猗县老干部局2020年部门预算，总计1,977,490.00元。其中：基本支出1,139,490.00元，项目支出838,000.00元</w:t>
      </w:r>
      <w:r>
        <w:rPr>
          <w:rFonts w:hint="eastAsia" w:cs="Times New Roman"/>
          <w:b w:val="0"/>
          <w:bCs w:val="0"/>
          <w:kern w:val="2"/>
          <w:sz w:val="28"/>
          <w:szCs w:val="28"/>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default" w:ascii="仿宋_GB2312" w:hAnsi="Times New Roman" w:eastAsia="仿宋_GB2312"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2</w:t>
      </w:r>
      <w:r>
        <w:rPr>
          <w:rFonts w:hint="default" w:ascii="仿宋_GB2312" w:hAnsi="Times New Roman" w:eastAsia="仿宋_GB2312" w:cs="Times New Roman"/>
          <w:b/>
          <w:bCs/>
          <w:kern w:val="2"/>
          <w:sz w:val="28"/>
          <w:szCs w:val="28"/>
          <w:highlight w:val="none"/>
          <w:lang w:val="en-US" w:eastAsia="zh-CN" w:bidi="ar-SA"/>
        </w:rPr>
        <w:t>.</w:t>
      </w:r>
      <w:r>
        <w:rPr>
          <w:rFonts w:hint="eastAsia" w:ascii="仿宋" w:eastAsia="仿宋"/>
          <w:b/>
          <w:color w:val="000000"/>
          <w:kern w:val="0"/>
          <w:sz w:val="28"/>
          <w:highlight w:val="none"/>
          <w:shd w:val="clear" w:color="auto" w:fill="FFFFFF"/>
        </w:rPr>
        <w:t>预算资金下达情况</w:t>
      </w:r>
    </w:p>
    <w:p>
      <w:pPr>
        <w:widowControl/>
        <w:numPr>
          <w:ilvl w:val="0"/>
          <w:numId w:val="0"/>
        </w:numPr>
        <w:snapToGrid w:val="0"/>
        <w:spacing w:line="578" w:lineRule="exact"/>
        <w:ind w:firstLine="560" w:firstLineChars="200"/>
        <w:rPr>
          <w:rFonts w:hint="eastAsia" w:ascii="仿宋" w:hAnsi="仿宋" w:eastAsia="仿宋" w:cs="仿宋"/>
          <w:color w:val="000000"/>
          <w:kern w:val="0"/>
          <w:sz w:val="28"/>
          <w:szCs w:val="28"/>
          <w:highlight w:val="none"/>
          <w:shd w:val="clear" w:color="auto" w:fill="FFFFFF"/>
          <w:lang w:val="en-US" w:eastAsia="zh-CN"/>
        </w:rPr>
      </w:pPr>
      <w:r>
        <w:rPr>
          <w:rFonts w:hint="eastAsia" w:ascii="仿宋" w:hAnsi="仿宋" w:eastAsia="仿宋" w:cs="仿宋"/>
          <w:color w:val="000000"/>
          <w:kern w:val="0"/>
          <w:sz w:val="28"/>
          <w:szCs w:val="28"/>
          <w:highlight w:val="none"/>
          <w:shd w:val="clear" w:color="auto" w:fill="FFFFFF"/>
          <w:lang w:val="en-US" w:eastAsia="zh-CN"/>
        </w:rPr>
        <w:t>临猗县老干部局2020年共取得收入2,602,076.83元，其中：基本支出1,276,062.43元，项目支出1,326,014.40元。</w:t>
      </w:r>
    </w:p>
    <w:p>
      <w:pPr>
        <w:widowControl/>
        <w:numPr>
          <w:ilvl w:val="0"/>
          <w:numId w:val="0"/>
        </w:numPr>
        <w:snapToGrid w:val="0"/>
        <w:spacing w:line="578" w:lineRule="exact"/>
        <w:ind w:firstLine="560" w:firstLineChars="200"/>
        <w:rPr>
          <w:rFonts w:hint="default" w:ascii="仿宋" w:hAnsi="仿宋" w:eastAsia="仿宋" w:cs="仿宋"/>
          <w:color w:val="000000"/>
          <w:kern w:val="0"/>
          <w:sz w:val="28"/>
          <w:szCs w:val="28"/>
          <w:highlight w:val="none"/>
          <w:shd w:val="clear" w:color="auto" w:fill="FFFFFF"/>
          <w:lang w:val="en-US" w:eastAsia="zh-CN"/>
        </w:rPr>
      </w:pPr>
      <w:r>
        <w:rPr>
          <w:rFonts w:hint="eastAsia" w:ascii="仿宋" w:hAnsi="仿宋" w:eastAsia="仿宋" w:cs="仿宋"/>
          <w:color w:val="000000"/>
          <w:kern w:val="0"/>
          <w:sz w:val="28"/>
          <w:szCs w:val="28"/>
          <w:highlight w:val="none"/>
          <w:shd w:val="clear" w:color="auto" w:fill="FFFFFF"/>
          <w:lang w:val="en-US" w:eastAsia="zh-CN"/>
        </w:rPr>
        <w:t>临猗县老干部局2020年年初预算资金1,977,490.00元，实际下达资金1,977,490.00元。</w:t>
      </w:r>
    </w:p>
    <w:p>
      <w:pPr>
        <w:widowControl/>
        <w:numPr>
          <w:ilvl w:val="0"/>
          <w:numId w:val="0"/>
        </w:numPr>
        <w:snapToGrid w:val="0"/>
        <w:spacing w:line="578" w:lineRule="exact"/>
        <w:ind w:firstLine="560" w:firstLineChars="200"/>
        <w:rPr>
          <w:rFonts w:hint="eastAsia" w:ascii="仿宋" w:hAnsi="仿宋" w:eastAsia="仿宋" w:cs="仿宋"/>
          <w:color w:val="000000"/>
          <w:kern w:val="0"/>
          <w:sz w:val="28"/>
          <w:szCs w:val="28"/>
          <w:highlight w:val="none"/>
          <w:shd w:val="clear" w:color="auto" w:fill="FFFFFF"/>
          <w:lang w:val="en-US" w:eastAsia="zh-CN"/>
        </w:rPr>
      </w:pPr>
      <w:r>
        <w:rPr>
          <w:rFonts w:hint="eastAsia" w:ascii="仿宋" w:hAnsi="仿宋" w:eastAsia="仿宋" w:cs="仿宋"/>
          <w:color w:val="000000"/>
          <w:kern w:val="0"/>
          <w:sz w:val="28"/>
          <w:szCs w:val="28"/>
          <w:highlight w:val="none"/>
          <w:shd w:val="clear" w:color="auto" w:fill="FFFFFF"/>
          <w:lang w:val="en-US" w:eastAsia="zh-CN"/>
        </w:rPr>
        <w:t>临猗县老干部局2020年追加预算资金624,586.83元已全部下达。收入明细见表1。</w:t>
      </w:r>
    </w:p>
    <w:p>
      <w:pPr>
        <w:pStyle w:val="2"/>
        <w:ind w:firstLine="562"/>
        <w:jc w:val="center"/>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表1：收入明细表</w:t>
      </w:r>
    </w:p>
    <w:p>
      <w:pPr>
        <w:pStyle w:val="2"/>
        <w:ind w:firstLine="562"/>
        <w:jc w:val="right"/>
        <w:rPr>
          <w:rFonts w:hint="default"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单位：元</w:t>
      </w:r>
    </w:p>
    <w:tbl>
      <w:tblPr>
        <w:tblStyle w:val="7"/>
        <w:tblW w:w="9489" w:type="dxa"/>
        <w:tblInd w:w="-351" w:type="dxa"/>
        <w:shd w:val="clear" w:color="auto" w:fill="auto"/>
        <w:tblLayout w:type="fixed"/>
        <w:tblCellMar>
          <w:top w:w="0" w:type="dxa"/>
          <w:left w:w="108" w:type="dxa"/>
          <w:bottom w:w="0" w:type="dxa"/>
          <w:right w:w="108" w:type="dxa"/>
        </w:tblCellMar>
      </w:tblPr>
      <w:tblGrid>
        <w:gridCol w:w="1063"/>
        <w:gridCol w:w="1055"/>
        <w:gridCol w:w="2228"/>
        <w:gridCol w:w="1492"/>
        <w:gridCol w:w="1482"/>
        <w:gridCol w:w="2169"/>
      </w:tblGrid>
      <w:tr>
        <w:tblPrEx>
          <w:shd w:val="clear" w:color="auto" w:fill="auto"/>
          <w:tblCellMar>
            <w:top w:w="0" w:type="dxa"/>
            <w:left w:w="108" w:type="dxa"/>
            <w:bottom w:w="0" w:type="dxa"/>
            <w:right w:w="108" w:type="dxa"/>
          </w:tblCellMar>
        </w:tblPrEx>
        <w:trPr>
          <w:trHeight w:val="249" w:hRule="atLeast"/>
          <w:tblHeader/>
        </w:trPr>
        <w:tc>
          <w:tcPr>
            <w:tcW w:w="1063"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资金性质</w:t>
            </w:r>
          </w:p>
        </w:tc>
        <w:tc>
          <w:tcPr>
            <w:tcW w:w="105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类型</w:t>
            </w:r>
          </w:p>
        </w:tc>
        <w:tc>
          <w:tcPr>
            <w:tcW w:w="222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项目名称</w:t>
            </w:r>
          </w:p>
        </w:tc>
        <w:tc>
          <w:tcPr>
            <w:tcW w:w="1492"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bottom"/>
          </w:tcPr>
          <w:p>
            <w:pPr>
              <w:keepNext w:val="0"/>
              <w:keepLines w:val="0"/>
              <w:widowControl/>
              <w:suppressLineNumbers w:val="0"/>
              <w:jc w:val="center"/>
              <w:textAlignment w:val="bottom"/>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预算资金</w:t>
            </w:r>
          </w:p>
        </w:tc>
        <w:tc>
          <w:tcPr>
            <w:tcW w:w="1482"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bottom"/>
          </w:tcPr>
          <w:p>
            <w:pPr>
              <w:keepNext w:val="0"/>
              <w:keepLines w:val="0"/>
              <w:widowControl/>
              <w:suppressLineNumbers w:val="0"/>
              <w:jc w:val="center"/>
              <w:textAlignment w:val="bottom"/>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下达资金</w:t>
            </w:r>
          </w:p>
        </w:tc>
        <w:tc>
          <w:tcPr>
            <w:tcW w:w="2169"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下达文号</w:t>
            </w:r>
          </w:p>
        </w:tc>
      </w:tr>
      <w:tr>
        <w:tblPrEx>
          <w:tblCellMar>
            <w:top w:w="0" w:type="dxa"/>
            <w:left w:w="108" w:type="dxa"/>
            <w:bottom w:w="0" w:type="dxa"/>
            <w:right w:w="108" w:type="dxa"/>
          </w:tblCellMar>
        </w:tblPrEx>
        <w:trPr>
          <w:trHeight w:val="263" w:hRule="atLeast"/>
        </w:trPr>
        <w:tc>
          <w:tcPr>
            <w:tcW w:w="106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预算内</w:t>
            </w: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基本支出</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人员经费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1,018,354.00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1,018,354.00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97"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公用经费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121,136.00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121,136.00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97"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小计</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1,139,490.00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1,139,490.00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ascii="仿宋" w:hAnsi="仿宋" w:eastAsia="仿宋" w:cs="仿宋"/>
                <w:i w:val="0"/>
                <w:iCs w:val="0"/>
                <w:color w:val="000000"/>
                <w:sz w:val="20"/>
                <w:szCs w:val="20"/>
                <w:highlight w:val="none"/>
                <w:u w:val="none"/>
                <w:lang w:val="en-US" w:eastAsia="zh-CN"/>
              </w:rPr>
            </w:pPr>
          </w:p>
        </w:tc>
      </w:tr>
      <w:tr>
        <w:tblPrEx>
          <w:tblCellMar>
            <w:top w:w="0" w:type="dxa"/>
            <w:left w:w="108" w:type="dxa"/>
            <w:bottom w:w="0" w:type="dxa"/>
            <w:right w:w="108" w:type="dxa"/>
          </w:tblCellMar>
        </w:tblPrEx>
        <w:trPr>
          <w:trHeight w:val="297"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项目支出</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老干部活动中心经费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15,000.00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15,000.00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97"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老年音乐舞蹈协会经费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5,000.00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97"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老干部管理业务费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45,000.00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45,000.00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97"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老年大学经费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13,000.00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97"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老年体协经费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5,000.00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63"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老年书画协会经费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5,000.00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5,000.00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97"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老干部帮扶基金</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30,000.00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30,000.00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97"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老干部特需费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700,000.00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700,000.00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97"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老干部支部活动经费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20,000.00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20,000.00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临财预指[2020]001号</w:t>
            </w:r>
          </w:p>
        </w:tc>
      </w:tr>
      <w:tr>
        <w:tblPrEx>
          <w:tblCellMar>
            <w:top w:w="0" w:type="dxa"/>
            <w:left w:w="108" w:type="dxa"/>
            <w:bottom w:w="0" w:type="dxa"/>
            <w:right w:w="108" w:type="dxa"/>
          </w:tblCellMar>
        </w:tblPrEx>
        <w:trPr>
          <w:trHeight w:val="248"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小计</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838,000.00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838,000.00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0"/>
                <w:szCs w:val="20"/>
                <w:highlight w:val="none"/>
                <w:u w:val="none"/>
              </w:rPr>
            </w:pPr>
          </w:p>
        </w:tc>
      </w:tr>
      <w:tr>
        <w:tblPrEx>
          <w:tblCellMar>
            <w:top w:w="0" w:type="dxa"/>
            <w:left w:w="108" w:type="dxa"/>
            <w:bottom w:w="0" w:type="dxa"/>
            <w:right w:w="108" w:type="dxa"/>
          </w:tblCellMar>
        </w:tblPrEx>
        <w:trPr>
          <w:trHeight w:val="248"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预算内资金-合计</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 xml:space="preserve">1,977,490.00 </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1,976,104.00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0"/>
                <w:szCs w:val="20"/>
                <w:highlight w:val="none"/>
                <w:u w:val="none"/>
              </w:rPr>
            </w:pPr>
          </w:p>
        </w:tc>
      </w:tr>
      <w:tr>
        <w:tblPrEx>
          <w:tblCellMar>
            <w:top w:w="0" w:type="dxa"/>
            <w:left w:w="108" w:type="dxa"/>
            <w:bottom w:w="0" w:type="dxa"/>
            <w:right w:w="108" w:type="dxa"/>
          </w:tblCellMar>
        </w:tblPrEx>
        <w:trPr>
          <w:trHeight w:val="248" w:hRule="atLeast"/>
        </w:trPr>
        <w:tc>
          <w:tcPr>
            <w:tcW w:w="106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追加预算</w:t>
            </w:r>
          </w:p>
        </w:tc>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基本支出</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人员经费</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136,572.43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临财预指[2020]190号</w:t>
            </w:r>
          </w:p>
        </w:tc>
      </w:tr>
      <w:tr>
        <w:tblPrEx>
          <w:tblCellMar>
            <w:top w:w="0" w:type="dxa"/>
            <w:left w:w="108" w:type="dxa"/>
            <w:bottom w:w="0" w:type="dxa"/>
            <w:right w:w="108" w:type="dxa"/>
          </w:tblCellMar>
        </w:tblPrEx>
        <w:trPr>
          <w:trHeight w:val="248"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项目支出</w:t>
            </w: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2019年度目标责任考核奖励资金</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80,000.00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临财预指[2020]173号</w:t>
            </w:r>
          </w:p>
        </w:tc>
      </w:tr>
      <w:tr>
        <w:tblPrEx>
          <w:tblCellMar>
            <w:top w:w="0" w:type="dxa"/>
            <w:left w:w="108" w:type="dxa"/>
            <w:bottom w:w="0" w:type="dxa"/>
            <w:right w:w="108" w:type="dxa"/>
          </w:tblCellMar>
        </w:tblPrEx>
        <w:trPr>
          <w:trHeight w:val="248"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城镇职工独生子女家庭退休一次性奖励</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19,634.40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临财预指[2020]227号</w:t>
            </w:r>
          </w:p>
        </w:tc>
      </w:tr>
      <w:tr>
        <w:tblPrEx>
          <w:tblCellMar>
            <w:top w:w="0" w:type="dxa"/>
            <w:left w:w="108" w:type="dxa"/>
            <w:bottom w:w="0" w:type="dxa"/>
            <w:right w:w="108" w:type="dxa"/>
          </w:tblCellMar>
        </w:tblPrEx>
        <w:trPr>
          <w:trHeight w:val="248"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安家抚恤补助资金</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388,380.00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临财预指[2020]190号</w:t>
            </w:r>
          </w:p>
        </w:tc>
      </w:tr>
      <w:tr>
        <w:tblPrEx>
          <w:tblCellMar>
            <w:top w:w="0" w:type="dxa"/>
            <w:left w:w="108" w:type="dxa"/>
            <w:bottom w:w="0" w:type="dxa"/>
            <w:right w:w="108" w:type="dxa"/>
          </w:tblCellMar>
        </w:tblPrEx>
        <w:trPr>
          <w:trHeight w:val="248"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10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22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小计</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488,014.40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0"/>
                <w:szCs w:val="20"/>
                <w:highlight w:val="none"/>
                <w:u w:val="none"/>
              </w:rPr>
            </w:pPr>
          </w:p>
        </w:tc>
      </w:tr>
      <w:tr>
        <w:tblPrEx>
          <w:tblCellMar>
            <w:top w:w="0" w:type="dxa"/>
            <w:left w:w="108" w:type="dxa"/>
            <w:bottom w:w="0" w:type="dxa"/>
            <w:right w:w="108" w:type="dxa"/>
          </w:tblCellMar>
        </w:tblPrEx>
        <w:trPr>
          <w:trHeight w:val="248" w:hRule="atLeast"/>
        </w:trPr>
        <w:tc>
          <w:tcPr>
            <w:tcW w:w="106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000000"/>
                <w:sz w:val="20"/>
                <w:szCs w:val="20"/>
                <w:highlight w:val="none"/>
                <w:u w:val="none"/>
              </w:rPr>
            </w:pPr>
          </w:p>
        </w:tc>
        <w:tc>
          <w:tcPr>
            <w:tcW w:w="328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追加预算资金-合计</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624,586.83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0"/>
                <w:szCs w:val="20"/>
                <w:highlight w:val="none"/>
                <w:u w:val="none"/>
              </w:rPr>
            </w:pPr>
          </w:p>
        </w:tc>
      </w:tr>
      <w:tr>
        <w:tblPrEx>
          <w:tblCellMar>
            <w:top w:w="0" w:type="dxa"/>
            <w:left w:w="108" w:type="dxa"/>
            <w:bottom w:w="0" w:type="dxa"/>
            <w:right w:w="108" w:type="dxa"/>
          </w:tblCellMar>
        </w:tblPrEx>
        <w:trPr>
          <w:trHeight w:val="248" w:hRule="atLeast"/>
        </w:trPr>
        <w:tc>
          <w:tcPr>
            <w:tcW w:w="4346" w:type="dxa"/>
            <w:gridSpan w:val="3"/>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合计</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default"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1,977,490.00</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2,602,076.83 </w:t>
            </w:r>
          </w:p>
        </w:tc>
        <w:tc>
          <w:tcPr>
            <w:tcW w:w="21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eastAsia" w:ascii="仿宋" w:hAnsi="仿宋" w:eastAsia="仿宋" w:cs="仿宋"/>
                <w:i w:val="0"/>
                <w:iCs w:val="0"/>
                <w:color w:val="000000"/>
                <w:sz w:val="20"/>
                <w:szCs w:val="20"/>
                <w:highlight w:val="none"/>
                <w:u w:val="none"/>
              </w:rPr>
            </w:pPr>
          </w:p>
        </w:tc>
      </w:tr>
    </w:tbl>
    <w:p>
      <w:pPr>
        <w:pStyle w:val="2"/>
        <w:ind w:firstLine="562" w:firstLineChars="200"/>
        <w:rPr>
          <w:rFonts w:hint="eastAsia" w:cs="Times New Roman"/>
          <w:b/>
          <w:bCs/>
          <w:kern w:val="2"/>
          <w:sz w:val="28"/>
          <w:szCs w:val="28"/>
          <w:highlight w:val="none"/>
          <w:lang w:val="en-US" w:eastAsia="zh-CN" w:bidi="ar-SA"/>
        </w:rPr>
      </w:pPr>
      <w:r>
        <w:rPr>
          <w:rFonts w:hint="eastAsia" w:cs="Times New Roman"/>
          <w:b/>
          <w:bCs/>
          <w:kern w:val="2"/>
          <w:sz w:val="28"/>
          <w:szCs w:val="28"/>
          <w:highlight w:val="none"/>
          <w:lang w:val="en-US" w:eastAsia="zh-CN" w:bidi="ar-SA"/>
        </w:rPr>
        <w:t>3.整体收支及结转和结余情况</w:t>
      </w:r>
    </w:p>
    <w:p>
      <w:pPr>
        <w:widowControl/>
        <w:snapToGrid w:val="0"/>
        <w:spacing w:line="578" w:lineRule="exact"/>
        <w:ind w:firstLine="560" w:firstLineChars="200"/>
        <w:rPr>
          <w:rFonts w:hint="eastAsia" w:ascii="仿宋" w:hAnsi="仿宋" w:eastAsia="仿宋" w:cs="仿宋"/>
          <w:color w:val="000000"/>
          <w:kern w:val="0"/>
          <w:sz w:val="28"/>
          <w:szCs w:val="28"/>
          <w:highlight w:val="none"/>
          <w:shd w:val="clear" w:color="auto" w:fill="FFFFFF"/>
          <w:lang w:val="en-US" w:eastAsia="zh-CN"/>
        </w:rPr>
      </w:pPr>
      <w:r>
        <w:rPr>
          <w:rFonts w:hint="eastAsia" w:ascii="仿宋" w:hAnsi="仿宋" w:eastAsia="仿宋" w:cs="仿宋"/>
          <w:color w:val="000000"/>
          <w:kern w:val="0"/>
          <w:sz w:val="28"/>
          <w:szCs w:val="28"/>
          <w:highlight w:val="none"/>
          <w:shd w:val="clear" w:color="auto" w:fill="FFFFFF"/>
          <w:lang w:val="en-US" w:eastAsia="zh-CN"/>
        </w:rPr>
        <w:t>临猗县老干部局2020年共支出2,602,076.83元，其中：基本支出1,276,062.43元，项目支出1,326,014.40元。整体</w:t>
      </w:r>
      <w:r>
        <w:rPr>
          <w:rFonts w:hint="eastAsia" w:ascii="仿宋" w:hAnsi="仿宋" w:eastAsia="仿宋" w:cs="仿宋"/>
          <w:color w:val="000000"/>
          <w:kern w:val="0"/>
          <w:sz w:val="28"/>
          <w:szCs w:val="28"/>
          <w:highlight w:val="none"/>
          <w:shd w:val="clear" w:color="auto" w:fill="FFFFFF"/>
        </w:rPr>
        <w:t>支出</w:t>
      </w:r>
      <w:r>
        <w:rPr>
          <w:rFonts w:hint="eastAsia" w:ascii="仿宋" w:hAnsi="仿宋" w:eastAsia="仿宋" w:cs="仿宋"/>
          <w:color w:val="000000"/>
          <w:kern w:val="0"/>
          <w:sz w:val="28"/>
          <w:szCs w:val="28"/>
          <w:highlight w:val="none"/>
          <w:shd w:val="clear" w:color="auto" w:fill="FFFFFF"/>
          <w:lang w:val="en-US" w:eastAsia="zh-CN"/>
        </w:rPr>
        <w:t>明细详见表2。</w:t>
      </w:r>
    </w:p>
    <w:p>
      <w:pPr>
        <w:pStyle w:val="2"/>
        <w:ind w:firstLine="562"/>
        <w:jc w:val="center"/>
        <w:rPr>
          <w:rFonts w:hint="eastAsia"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表2：整体支出明细表</w:t>
      </w:r>
    </w:p>
    <w:p>
      <w:pPr>
        <w:pStyle w:val="2"/>
        <w:ind w:firstLine="562"/>
        <w:jc w:val="right"/>
        <w:rPr>
          <w:rFonts w:hint="default" w:ascii="仿宋" w:hAnsi="仿宋" w:eastAsia="仿宋" w:cs="仿宋"/>
          <w:b w:val="0"/>
          <w:bCs w:val="0"/>
          <w:color w:val="000000"/>
          <w:kern w:val="0"/>
          <w:sz w:val="28"/>
          <w:szCs w:val="28"/>
          <w:highlight w:val="none"/>
          <w:shd w:val="clear" w:color="auto" w:fill="FFFFFF"/>
          <w:lang w:val="en-US" w:eastAsia="zh-CN"/>
        </w:rPr>
      </w:pPr>
      <w:r>
        <w:rPr>
          <w:rFonts w:hint="eastAsia" w:ascii="仿宋" w:hAnsi="仿宋" w:eastAsia="仿宋" w:cs="仿宋"/>
          <w:b w:val="0"/>
          <w:bCs w:val="0"/>
          <w:color w:val="000000"/>
          <w:kern w:val="0"/>
          <w:sz w:val="28"/>
          <w:szCs w:val="28"/>
          <w:highlight w:val="none"/>
          <w:shd w:val="clear" w:color="auto" w:fill="FFFFFF"/>
          <w:lang w:val="en-US" w:eastAsia="zh-CN"/>
        </w:rPr>
        <w:t>单位：元</w:t>
      </w:r>
    </w:p>
    <w:tbl>
      <w:tblPr>
        <w:tblStyle w:val="8"/>
        <w:tblW w:w="9222" w:type="dxa"/>
        <w:tblInd w:w="-3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8"/>
        <w:gridCol w:w="1697"/>
        <w:gridCol w:w="1595"/>
        <w:gridCol w:w="1662"/>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BEBEBE" w:themeFill="background1" w:themeFillShade="BF"/>
            <w:vAlign w:val="center"/>
          </w:tcPr>
          <w:p>
            <w:pPr>
              <w:pStyle w:val="2"/>
              <w:jc w:val="center"/>
              <w:rPr>
                <w:rFonts w:hint="eastAsia" w:ascii="仿宋" w:hAnsi="仿宋" w:eastAsia="仿宋" w:cs="仿宋"/>
                <w:b/>
                <w:bCs/>
                <w:kern w:val="0"/>
                <w:sz w:val="22"/>
                <w:szCs w:val="22"/>
                <w:highlight w:val="none"/>
                <w:vertAlign w:val="baseline"/>
                <w:lang w:val="en-US" w:eastAsia="zh-CN"/>
              </w:rPr>
            </w:pPr>
            <w:r>
              <w:rPr>
                <w:rFonts w:hint="eastAsia" w:ascii="仿宋" w:hAnsi="仿宋" w:eastAsia="仿宋" w:cs="仿宋"/>
                <w:b/>
                <w:bCs/>
                <w:kern w:val="0"/>
                <w:sz w:val="22"/>
                <w:szCs w:val="22"/>
                <w:highlight w:val="none"/>
                <w:vertAlign w:val="baseline"/>
                <w:lang w:val="en-US" w:eastAsia="zh-CN"/>
              </w:rPr>
              <w:t>项目名称</w:t>
            </w:r>
          </w:p>
        </w:tc>
        <w:tc>
          <w:tcPr>
            <w:tcW w:w="1697" w:type="dxa"/>
            <w:shd w:val="clear" w:color="auto" w:fill="BEBEBE" w:themeFill="background1" w:themeFillShade="BF"/>
            <w:vAlign w:val="center"/>
          </w:tcPr>
          <w:p>
            <w:pPr>
              <w:pStyle w:val="2"/>
              <w:jc w:val="center"/>
              <w:rPr>
                <w:rFonts w:hint="eastAsia" w:ascii="仿宋" w:hAnsi="仿宋" w:eastAsia="仿宋" w:cs="仿宋"/>
                <w:b/>
                <w:bCs/>
                <w:kern w:val="0"/>
                <w:sz w:val="22"/>
                <w:szCs w:val="22"/>
                <w:highlight w:val="none"/>
                <w:vertAlign w:val="baseline"/>
                <w:lang w:val="en-US" w:eastAsia="zh-CN"/>
              </w:rPr>
            </w:pPr>
            <w:r>
              <w:rPr>
                <w:rFonts w:hint="eastAsia" w:ascii="仿宋" w:hAnsi="仿宋" w:eastAsia="仿宋" w:cs="仿宋"/>
                <w:b/>
                <w:bCs/>
                <w:kern w:val="0"/>
                <w:sz w:val="22"/>
                <w:szCs w:val="22"/>
                <w:highlight w:val="none"/>
                <w:vertAlign w:val="baseline"/>
                <w:lang w:val="en-US" w:eastAsia="zh-CN"/>
              </w:rPr>
              <w:t>下达预算金额</w:t>
            </w:r>
          </w:p>
        </w:tc>
        <w:tc>
          <w:tcPr>
            <w:tcW w:w="1595" w:type="dxa"/>
            <w:shd w:val="clear" w:color="auto" w:fill="BEBEBE" w:themeFill="background1" w:themeFillShade="BF"/>
            <w:vAlign w:val="center"/>
          </w:tcPr>
          <w:p>
            <w:pPr>
              <w:pStyle w:val="2"/>
              <w:jc w:val="center"/>
              <w:rPr>
                <w:rFonts w:hint="eastAsia" w:ascii="仿宋" w:hAnsi="仿宋" w:eastAsia="仿宋" w:cs="仿宋"/>
                <w:b/>
                <w:bCs/>
                <w:kern w:val="0"/>
                <w:sz w:val="22"/>
                <w:szCs w:val="22"/>
                <w:highlight w:val="none"/>
                <w:vertAlign w:val="baseline"/>
                <w:lang w:val="en-US" w:eastAsia="zh-CN"/>
              </w:rPr>
            </w:pPr>
            <w:r>
              <w:rPr>
                <w:rFonts w:hint="eastAsia" w:ascii="仿宋" w:hAnsi="仿宋" w:eastAsia="仿宋" w:cs="仿宋"/>
                <w:b/>
                <w:bCs/>
                <w:kern w:val="0"/>
                <w:sz w:val="22"/>
                <w:szCs w:val="22"/>
                <w:highlight w:val="none"/>
                <w:vertAlign w:val="baseline"/>
                <w:lang w:val="en-US" w:eastAsia="zh-CN"/>
              </w:rPr>
              <w:t>下达追加金额</w:t>
            </w:r>
          </w:p>
        </w:tc>
        <w:tc>
          <w:tcPr>
            <w:tcW w:w="1662" w:type="dxa"/>
            <w:shd w:val="clear" w:color="auto" w:fill="BEBEBE" w:themeFill="background1" w:themeFillShade="BF"/>
            <w:vAlign w:val="center"/>
          </w:tcPr>
          <w:p>
            <w:pPr>
              <w:pStyle w:val="2"/>
              <w:jc w:val="center"/>
              <w:rPr>
                <w:rFonts w:hint="eastAsia" w:ascii="仿宋" w:hAnsi="仿宋" w:eastAsia="仿宋" w:cs="仿宋"/>
                <w:b/>
                <w:bCs/>
                <w:kern w:val="0"/>
                <w:sz w:val="22"/>
                <w:szCs w:val="22"/>
                <w:highlight w:val="none"/>
                <w:vertAlign w:val="baseline"/>
                <w:lang w:val="en-US" w:eastAsia="zh-CN"/>
              </w:rPr>
            </w:pPr>
            <w:r>
              <w:rPr>
                <w:rFonts w:hint="eastAsia" w:ascii="仿宋" w:hAnsi="仿宋" w:eastAsia="仿宋" w:cs="仿宋"/>
                <w:b/>
                <w:bCs/>
                <w:kern w:val="0"/>
                <w:sz w:val="22"/>
                <w:szCs w:val="22"/>
                <w:highlight w:val="none"/>
                <w:vertAlign w:val="baseline"/>
                <w:lang w:val="en-US" w:eastAsia="zh-CN"/>
              </w:rPr>
              <w:t>实际支出</w:t>
            </w:r>
          </w:p>
        </w:tc>
        <w:tc>
          <w:tcPr>
            <w:tcW w:w="1140" w:type="dxa"/>
            <w:shd w:val="clear" w:color="auto" w:fill="BEBEBE" w:themeFill="background1" w:themeFillShade="BF"/>
            <w:vAlign w:val="center"/>
          </w:tcPr>
          <w:p>
            <w:pPr>
              <w:pStyle w:val="2"/>
              <w:jc w:val="center"/>
              <w:rPr>
                <w:rFonts w:hint="eastAsia" w:ascii="仿宋" w:hAnsi="仿宋" w:eastAsia="仿宋" w:cs="仿宋"/>
                <w:b/>
                <w:bCs/>
                <w:kern w:val="0"/>
                <w:sz w:val="22"/>
                <w:szCs w:val="22"/>
                <w:highlight w:val="none"/>
                <w:vertAlign w:val="baseline"/>
                <w:lang w:val="en-US" w:eastAsia="zh-CN"/>
              </w:rPr>
            </w:pPr>
            <w:r>
              <w:rPr>
                <w:rFonts w:hint="eastAsia" w:ascii="仿宋" w:hAnsi="仿宋" w:eastAsia="仿宋" w:cs="仿宋"/>
                <w:b/>
                <w:bCs/>
                <w:kern w:val="0"/>
                <w:sz w:val="22"/>
                <w:szCs w:val="22"/>
                <w:highlight w:val="none"/>
                <w:vertAlign w:val="baseline"/>
                <w:lang w:val="en-US" w:eastAsia="zh-CN"/>
              </w:rPr>
              <w:t>结余资金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一、基本支出</w:t>
            </w:r>
          </w:p>
        </w:tc>
        <w:tc>
          <w:tcPr>
            <w:tcW w:w="1697"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1,138,104.00</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137,958.43</w:t>
            </w:r>
          </w:p>
        </w:tc>
        <w:tc>
          <w:tcPr>
            <w:tcW w:w="1662"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1,276,062.43</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center"/>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1.人员经费</w:t>
            </w:r>
          </w:p>
        </w:tc>
        <w:tc>
          <w:tcPr>
            <w:tcW w:w="1697"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 xml:space="preserve">1,016,968.00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 xml:space="preserve">137,958.43 </w:t>
            </w:r>
          </w:p>
        </w:tc>
        <w:tc>
          <w:tcPr>
            <w:tcW w:w="1662"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1,154,926.43</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center"/>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2.公用经费</w:t>
            </w:r>
          </w:p>
        </w:tc>
        <w:tc>
          <w:tcPr>
            <w:tcW w:w="1697"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121,136.00</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c>
          <w:tcPr>
            <w:tcW w:w="1662" w:type="dxa"/>
            <w:shd w:val="clear" w:color="auto" w:fill="FFFFFF" w:themeFill="background1"/>
            <w:vAlign w:val="bottom"/>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 xml:space="preserve">121,136.00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center"/>
          </w:tcPr>
          <w:p>
            <w:pPr>
              <w:keepNext w:val="0"/>
              <w:keepLines w:val="0"/>
              <w:widowControl/>
              <w:suppressLineNumbers w:val="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二、项目支出</w:t>
            </w:r>
          </w:p>
        </w:tc>
        <w:tc>
          <w:tcPr>
            <w:tcW w:w="1697"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 xml:space="preserve">838,000.00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 xml:space="preserve">625,972.83 </w:t>
            </w:r>
          </w:p>
        </w:tc>
        <w:tc>
          <w:tcPr>
            <w:tcW w:w="1662" w:type="dxa"/>
            <w:shd w:val="clear" w:color="auto" w:fill="FFFFFF" w:themeFill="background1"/>
            <w:vAlign w:val="bottom"/>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 xml:space="preserve">1,326,014.40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w:t>
            </w:r>
            <w:r>
              <w:rPr>
                <w:rFonts w:hint="default" w:ascii="仿宋" w:hAnsi="仿宋" w:eastAsia="仿宋" w:cs="仿宋"/>
                <w:i w:val="0"/>
                <w:color w:val="000000"/>
                <w:kern w:val="0"/>
                <w:sz w:val="22"/>
                <w:szCs w:val="22"/>
                <w:highlight w:val="none"/>
                <w:u w:val="none"/>
                <w:lang w:val="en-US" w:eastAsia="zh-CN" w:bidi="ar"/>
              </w:rPr>
              <w:t>老年音乐舞蹈协会经费</w:t>
            </w:r>
          </w:p>
        </w:tc>
        <w:tc>
          <w:tcPr>
            <w:tcW w:w="1697"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5,000.00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c>
          <w:tcPr>
            <w:tcW w:w="1662"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5,000.00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2.</w:t>
            </w:r>
            <w:r>
              <w:rPr>
                <w:rFonts w:hint="default" w:ascii="仿宋" w:hAnsi="仿宋" w:eastAsia="仿宋" w:cs="仿宋"/>
                <w:i w:val="0"/>
                <w:color w:val="000000"/>
                <w:kern w:val="0"/>
                <w:sz w:val="22"/>
                <w:szCs w:val="22"/>
                <w:highlight w:val="none"/>
                <w:u w:val="none"/>
                <w:lang w:val="en-US" w:eastAsia="zh-CN" w:bidi="ar"/>
              </w:rPr>
              <w:t>老年书画协会经费</w:t>
            </w:r>
          </w:p>
        </w:tc>
        <w:tc>
          <w:tcPr>
            <w:tcW w:w="1697"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5,000.00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c>
          <w:tcPr>
            <w:tcW w:w="1662"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5,000.00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3.</w:t>
            </w:r>
            <w:r>
              <w:rPr>
                <w:rFonts w:hint="default" w:ascii="仿宋" w:hAnsi="仿宋" w:eastAsia="仿宋" w:cs="仿宋"/>
                <w:i w:val="0"/>
                <w:color w:val="000000"/>
                <w:kern w:val="0"/>
                <w:sz w:val="22"/>
                <w:szCs w:val="22"/>
                <w:highlight w:val="none"/>
                <w:u w:val="none"/>
                <w:lang w:val="en-US" w:eastAsia="zh-CN" w:bidi="ar"/>
              </w:rPr>
              <w:t>老年体协经费</w:t>
            </w:r>
          </w:p>
        </w:tc>
        <w:tc>
          <w:tcPr>
            <w:tcW w:w="1697"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5,000.00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c>
          <w:tcPr>
            <w:tcW w:w="1662"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5,000.00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4.</w:t>
            </w:r>
            <w:r>
              <w:rPr>
                <w:rFonts w:hint="default" w:ascii="仿宋" w:hAnsi="仿宋" w:eastAsia="仿宋" w:cs="仿宋"/>
                <w:i w:val="0"/>
                <w:color w:val="000000"/>
                <w:kern w:val="0"/>
                <w:sz w:val="22"/>
                <w:szCs w:val="22"/>
                <w:highlight w:val="none"/>
                <w:u w:val="none"/>
                <w:lang w:val="en-US" w:eastAsia="zh-CN" w:bidi="ar"/>
              </w:rPr>
              <w:t>老年大学经费</w:t>
            </w:r>
          </w:p>
        </w:tc>
        <w:tc>
          <w:tcPr>
            <w:tcW w:w="1697"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13,000.00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c>
          <w:tcPr>
            <w:tcW w:w="1662"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13,000.00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5.</w:t>
            </w:r>
            <w:r>
              <w:rPr>
                <w:rFonts w:hint="default" w:ascii="仿宋" w:hAnsi="仿宋" w:eastAsia="仿宋" w:cs="仿宋"/>
                <w:i w:val="0"/>
                <w:color w:val="000000"/>
                <w:kern w:val="0"/>
                <w:sz w:val="22"/>
                <w:szCs w:val="22"/>
                <w:highlight w:val="none"/>
                <w:u w:val="none"/>
                <w:lang w:val="en-US" w:eastAsia="zh-CN" w:bidi="ar"/>
              </w:rPr>
              <w:t>老干部活动中心经费</w:t>
            </w:r>
          </w:p>
        </w:tc>
        <w:tc>
          <w:tcPr>
            <w:tcW w:w="1697"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15,000.00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c>
          <w:tcPr>
            <w:tcW w:w="1662"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15,000.00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6.</w:t>
            </w:r>
            <w:r>
              <w:rPr>
                <w:rFonts w:hint="default" w:ascii="仿宋" w:hAnsi="仿宋" w:eastAsia="仿宋" w:cs="仿宋"/>
                <w:i w:val="0"/>
                <w:color w:val="000000"/>
                <w:kern w:val="0"/>
                <w:sz w:val="22"/>
                <w:szCs w:val="22"/>
                <w:highlight w:val="none"/>
                <w:u w:val="none"/>
                <w:lang w:val="en-US" w:eastAsia="zh-CN" w:bidi="ar"/>
              </w:rPr>
              <w:t>老干部支部活动经费</w:t>
            </w:r>
          </w:p>
        </w:tc>
        <w:tc>
          <w:tcPr>
            <w:tcW w:w="1697"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20,000.00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c>
          <w:tcPr>
            <w:tcW w:w="1662"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20,000.00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7.</w:t>
            </w:r>
            <w:r>
              <w:rPr>
                <w:rFonts w:hint="default" w:ascii="仿宋" w:hAnsi="仿宋" w:eastAsia="仿宋" w:cs="仿宋"/>
                <w:i w:val="0"/>
                <w:color w:val="000000"/>
                <w:kern w:val="0"/>
                <w:sz w:val="22"/>
                <w:szCs w:val="22"/>
                <w:highlight w:val="none"/>
                <w:u w:val="none"/>
                <w:lang w:val="en-US" w:eastAsia="zh-CN" w:bidi="ar"/>
              </w:rPr>
              <w:t>老干部帮扶基金</w:t>
            </w:r>
          </w:p>
        </w:tc>
        <w:tc>
          <w:tcPr>
            <w:tcW w:w="1697"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30,000.00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c>
          <w:tcPr>
            <w:tcW w:w="1662"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30,000.00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8.</w:t>
            </w:r>
            <w:r>
              <w:rPr>
                <w:rFonts w:hint="default" w:ascii="仿宋" w:hAnsi="仿宋" w:eastAsia="仿宋" w:cs="仿宋"/>
                <w:i w:val="0"/>
                <w:color w:val="000000"/>
                <w:kern w:val="0"/>
                <w:sz w:val="22"/>
                <w:szCs w:val="22"/>
                <w:highlight w:val="none"/>
                <w:u w:val="none"/>
                <w:lang w:val="en-US" w:eastAsia="zh-CN" w:bidi="ar"/>
              </w:rPr>
              <w:t>老干部管理业务费</w:t>
            </w:r>
          </w:p>
        </w:tc>
        <w:tc>
          <w:tcPr>
            <w:tcW w:w="1697"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45,000.00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c>
          <w:tcPr>
            <w:tcW w:w="1662"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45,000.00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eastAsia"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9.</w:t>
            </w:r>
            <w:r>
              <w:rPr>
                <w:rFonts w:hint="default" w:ascii="仿宋" w:hAnsi="仿宋" w:eastAsia="仿宋" w:cs="仿宋"/>
                <w:i w:val="0"/>
                <w:color w:val="000000"/>
                <w:kern w:val="0"/>
                <w:sz w:val="22"/>
                <w:szCs w:val="22"/>
                <w:highlight w:val="none"/>
                <w:u w:val="none"/>
                <w:lang w:val="en-US" w:eastAsia="zh-CN" w:bidi="ar"/>
              </w:rPr>
              <w:t>老干部特需费</w:t>
            </w:r>
          </w:p>
        </w:tc>
        <w:tc>
          <w:tcPr>
            <w:tcW w:w="1697" w:type="dxa"/>
            <w:shd w:val="clear" w:color="auto" w:fill="FFFFFF" w:themeFill="background1"/>
            <w:vAlign w:val="bottom"/>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700,000.00 </w:t>
            </w: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c>
          <w:tcPr>
            <w:tcW w:w="1662" w:type="dxa"/>
            <w:shd w:val="clear" w:color="auto" w:fill="FFFFFF" w:themeFill="background1"/>
            <w:vAlign w:val="bottom"/>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700,000.00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default"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10.城镇职工独生子女家庭退休一次性奖励</w:t>
            </w:r>
          </w:p>
        </w:tc>
        <w:tc>
          <w:tcPr>
            <w:tcW w:w="1697" w:type="dxa"/>
            <w:shd w:val="clear" w:color="auto" w:fill="FFFFFF" w:themeFill="background1"/>
            <w:vAlign w:val="center"/>
          </w:tcPr>
          <w:p>
            <w:pPr>
              <w:keepNext w:val="0"/>
              <w:keepLines w:val="0"/>
              <w:widowControl/>
              <w:suppressLineNumbers w:val="0"/>
              <w:jc w:val="right"/>
              <w:textAlignment w:val="center"/>
              <w:rPr>
                <w:rFonts w:hint="default" w:ascii="仿宋" w:hAnsi="仿宋" w:eastAsia="仿宋" w:cs="仿宋"/>
                <w:i w:val="0"/>
                <w:color w:val="000000"/>
                <w:kern w:val="0"/>
                <w:sz w:val="22"/>
                <w:szCs w:val="22"/>
                <w:highlight w:val="none"/>
                <w:u w:val="none"/>
                <w:lang w:val="en-US" w:eastAsia="zh-CN" w:bidi="ar"/>
              </w:rPr>
            </w:pP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19,634.40 </w:t>
            </w:r>
          </w:p>
        </w:tc>
        <w:tc>
          <w:tcPr>
            <w:tcW w:w="1662"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19,634.40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default"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11.2019年度目标责任考核奖励资金</w:t>
            </w:r>
          </w:p>
        </w:tc>
        <w:tc>
          <w:tcPr>
            <w:tcW w:w="1697" w:type="dxa"/>
            <w:shd w:val="clear" w:color="auto" w:fill="FFFFFF" w:themeFill="background1"/>
            <w:vAlign w:val="center"/>
          </w:tcPr>
          <w:p>
            <w:pPr>
              <w:keepNext w:val="0"/>
              <w:keepLines w:val="0"/>
              <w:widowControl/>
              <w:suppressLineNumbers w:val="0"/>
              <w:jc w:val="right"/>
              <w:textAlignment w:val="center"/>
              <w:rPr>
                <w:rFonts w:hint="default" w:ascii="仿宋" w:hAnsi="仿宋" w:eastAsia="仿宋" w:cs="仿宋"/>
                <w:i w:val="0"/>
                <w:color w:val="000000"/>
                <w:kern w:val="0"/>
                <w:sz w:val="22"/>
                <w:szCs w:val="22"/>
                <w:highlight w:val="none"/>
                <w:u w:val="none"/>
                <w:lang w:val="en-US" w:eastAsia="zh-CN" w:bidi="ar"/>
              </w:rPr>
            </w:pP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80,000.00 </w:t>
            </w:r>
          </w:p>
        </w:tc>
        <w:tc>
          <w:tcPr>
            <w:tcW w:w="1662"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80,000.00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left"/>
              <w:textAlignment w:val="center"/>
              <w:rPr>
                <w:rFonts w:hint="default"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12.安家抚恤补助资金</w:t>
            </w:r>
          </w:p>
        </w:tc>
        <w:tc>
          <w:tcPr>
            <w:tcW w:w="1697" w:type="dxa"/>
            <w:shd w:val="clear" w:color="auto" w:fill="FFFFFF" w:themeFill="background1"/>
            <w:vAlign w:val="center"/>
          </w:tcPr>
          <w:p>
            <w:pPr>
              <w:keepNext w:val="0"/>
              <w:keepLines w:val="0"/>
              <w:widowControl/>
              <w:suppressLineNumbers w:val="0"/>
              <w:jc w:val="right"/>
              <w:textAlignment w:val="center"/>
              <w:rPr>
                <w:rFonts w:hint="default" w:ascii="仿宋" w:hAnsi="仿宋" w:eastAsia="仿宋" w:cs="仿宋"/>
                <w:i w:val="0"/>
                <w:color w:val="000000"/>
                <w:kern w:val="0"/>
                <w:sz w:val="22"/>
                <w:szCs w:val="22"/>
                <w:highlight w:val="none"/>
                <w:u w:val="none"/>
                <w:lang w:val="en-US" w:eastAsia="zh-CN" w:bidi="ar"/>
              </w:rPr>
            </w:pPr>
          </w:p>
        </w:tc>
        <w:tc>
          <w:tcPr>
            <w:tcW w:w="1595"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388,380.00 </w:t>
            </w:r>
          </w:p>
        </w:tc>
        <w:tc>
          <w:tcPr>
            <w:tcW w:w="1662"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388,380.00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28" w:type="dxa"/>
            <w:shd w:val="clear" w:color="auto" w:fill="FFFFFF" w:themeFill="background1"/>
            <w:vAlign w:val="bottom"/>
          </w:tcPr>
          <w:p>
            <w:pPr>
              <w:keepNext w:val="0"/>
              <w:keepLines w:val="0"/>
              <w:widowControl/>
              <w:suppressLineNumbers w:val="0"/>
              <w:ind w:firstLine="440" w:firstLineChars="200"/>
              <w:jc w:val="center"/>
              <w:textAlignment w:val="center"/>
              <w:rPr>
                <w:rFonts w:hint="default" w:ascii="仿宋" w:hAnsi="仿宋" w:eastAsia="仿宋" w:cs="仿宋"/>
                <w:i w:val="0"/>
                <w:color w:val="000000"/>
                <w:kern w:val="0"/>
                <w:sz w:val="22"/>
                <w:szCs w:val="22"/>
                <w:highlight w:val="none"/>
                <w:u w:val="none"/>
                <w:lang w:val="en-US" w:eastAsia="zh-CN" w:bidi="ar"/>
              </w:rPr>
            </w:pPr>
            <w:r>
              <w:rPr>
                <w:rFonts w:hint="eastAsia" w:ascii="仿宋" w:hAnsi="仿宋" w:eastAsia="仿宋" w:cs="仿宋"/>
                <w:i w:val="0"/>
                <w:color w:val="000000"/>
                <w:kern w:val="0"/>
                <w:sz w:val="22"/>
                <w:szCs w:val="22"/>
                <w:highlight w:val="none"/>
                <w:u w:val="none"/>
                <w:lang w:val="en-US" w:eastAsia="zh-CN" w:bidi="ar"/>
              </w:rPr>
              <w:t>合计</w:t>
            </w:r>
          </w:p>
        </w:tc>
        <w:tc>
          <w:tcPr>
            <w:tcW w:w="1697" w:type="dxa"/>
            <w:shd w:val="clear" w:color="auto" w:fill="FFFFFF" w:themeFill="background1"/>
            <w:vAlign w:val="center"/>
          </w:tcPr>
          <w:p>
            <w:pPr>
              <w:keepNext w:val="0"/>
              <w:keepLines w:val="0"/>
              <w:widowControl/>
              <w:suppressLineNumbers w:val="0"/>
              <w:jc w:val="right"/>
              <w:textAlignment w:val="center"/>
              <w:rPr>
                <w:rFonts w:hint="default"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1,976,104.00 </w:t>
            </w:r>
          </w:p>
        </w:tc>
        <w:tc>
          <w:tcPr>
            <w:tcW w:w="1595" w:type="dxa"/>
            <w:shd w:val="clear" w:color="auto" w:fill="FFFFFF" w:themeFill="background1"/>
            <w:vAlign w:val="center"/>
          </w:tcPr>
          <w:p>
            <w:pPr>
              <w:keepNext w:val="0"/>
              <w:keepLines w:val="0"/>
              <w:widowControl/>
              <w:suppressLineNumbers w:val="0"/>
              <w:jc w:val="right"/>
              <w:textAlignment w:val="center"/>
              <w:rPr>
                <w:rFonts w:hint="default"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625,972.83 </w:t>
            </w:r>
          </w:p>
        </w:tc>
        <w:tc>
          <w:tcPr>
            <w:tcW w:w="1662" w:type="dxa"/>
            <w:shd w:val="clear" w:color="auto" w:fill="FFFFFF" w:themeFill="background1"/>
            <w:vAlign w:val="center"/>
          </w:tcPr>
          <w:p>
            <w:pPr>
              <w:keepNext w:val="0"/>
              <w:keepLines w:val="0"/>
              <w:widowControl/>
              <w:suppressLineNumbers w:val="0"/>
              <w:jc w:val="right"/>
              <w:textAlignment w:val="center"/>
              <w:rPr>
                <w:rFonts w:hint="default" w:ascii="仿宋" w:hAnsi="仿宋" w:eastAsia="仿宋" w:cs="仿宋"/>
                <w:i w:val="0"/>
                <w:color w:val="000000"/>
                <w:kern w:val="0"/>
                <w:sz w:val="22"/>
                <w:szCs w:val="22"/>
                <w:highlight w:val="none"/>
                <w:u w:val="none"/>
                <w:lang w:val="en-US" w:eastAsia="zh-CN" w:bidi="ar"/>
              </w:rPr>
            </w:pPr>
            <w:r>
              <w:rPr>
                <w:rFonts w:hint="default" w:ascii="仿宋" w:hAnsi="仿宋" w:eastAsia="仿宋" w:cs="仿宋"/>
                <w:i w:val="0"/>
                <w:color w:val="000000"/>
                <w:kern w:val="0"/>
                <w:sz w:val="22"/>
                <w:szCs w:val="22"/>
                <w:highlight w:val="none"/>
                <w:u w:val="none"/>
                <w:lang w:val="en-US" w:eastAsia="zh-CN" w:bidi="ar"/>
              </w:rPr>
              <w:t xml:space="preserve">2,602,076.83 </w:t>
            </w:r>
          </w:p>
        </w:tc>
        <w:tc>
          <w:tcPr>
            <w:tcW w:w="1140" w:type="dxa"/>
            <w:shd w:val="clear" w:color="auto" w:fill="FFFFFF" w:themeFill="background1"/>
            <w:vAlign w:val="center"/>
          </w:tcPr>
          <w:p>
            <w:pPr>
              <w:keepNext w:val="0"/>
              <w:keepLines w:val="0"/>
              <w:widowControl/>
              <w:suppressLineNumbers w:val="0"/>
              <w:jc w:val="right"/>
              <w:textAlignment w:val="center"/>
              <w:rPr>
                <w:rFonts w:hint="eastAsia" w:ascii="仿宋" w:hAnsi="仿宋" w:eastAsia="仿宋" w:cs="仿宋"/>
                <w:i w:val="0"/>
                <w:color w:val="000000"/>
                <w:kern w:val="0"/>
                <w:sz w:val="22"/>
                <w:szCs w:val="22"/>
                <w:highlight w:val="none"/>
                <w:u w:val="none"/>
                <w:lang w:val="en-US" w:eastAsia="zh-CN" w:bidi="ar"/>
              </w:rPr>
            </w:pPr>
          </w:p>
        </w:tc>
      </w:tr>
    </w:tbl>
    <w:p>
      <w:pPr>
        <w:widowControl/>
        <w:snapToGrid w:val="0"/>
        <w:spacing w:line="578" w:lineRule="exact"/>
        <w:ind w:firstLine="562" w:firstLineChars="200"/>
        <w:rPr>
          <w:rFonts w:hint="eastAsia" w:ascii="仿宋" w:hAnsi="仿宋" w:eastAsia="仿宋" w:cs="仿宋"/>
          <w:b/>
          <w:bCs/>
          <w:color w:val="000000"/>
          <w:kern w:val="0"/>
          <w:sz w:val="28"/>
          <w:szCs w:val="28"/>
          <w:highlight w:val="none"/>
          <w:shd w:val="clear" w:color="auto" w:fill="FFFFFF"/>
        </w:rPr>
      </w:pPr>
      <w:r>
        <w:rPr>
          <w:rFonts w:hint="eastAsia" w:ascii="仿宋" w:hAnsi="仿宋" w:eastAsia="仿宋" w:cs="仿宋"/>
          <w:b/>
          <w:bCs/>
          <w:color w:val="000000"/>
          <w:kern w:val="0"/>
          <w:sz w:val="28"/>
          <w:szCs w:val="28"/>
          <w:highlight w:val="none"/>
          <w:shd w:val="clear" w:color="auto" w:fill="FFFFFF"/>
          <w:lang w:val="en-US" w:eastAsia="zh-CN"/>
        </w:rPr>
        <w:t>4</w:t>
      </w:r>
      <w:r>
        <w:rPr>
          <w:rFonts w:hint="eastAsia" w:ascii="仿宋" w:hAnsi="仿宋" w:eastAsia="仿宋" w:cs="仿宋"/>
          <w:b/>
          <w:bCs/>
          <w:color w:val="000000"/>
          <w:kern w:val="0"/>
          <w:sz w:val="28"/>
          <w:szCs w:val="28"/>
          <w:highlight w:val="none"/>
          <w:shd w:val="clear" w:color="auto" w:fill="FFFFFF"/>
          <w:lang w:eastAsia="zh-CN"/>
        </w:rPr>
        <w:t>.</w:t>
      </w:r>
      <w:r>
        <w:rPr>
          <w:rFonts w:hint="eastAsia" w:ascii="仿宋" w:hAnsi="仿宋" w:eastAsia="仿宋" w:cs="仿宋"/>
          <w:b/>
          <w:bCs/>
          <w:color w:val="000000"/>
          <w:kern w:val="0"/>
          <w:sz w:val="28"/>
          <w:szCs w:val="28"/>
          <w:highlight w:val="none"/>
          <w:shd w:val="clear" w:color="auto" w:fill="FFFFFF"/>
        </w:rPr>
        <w:t>资金结转</w:t>
      </w:r>
      <w:r>
        <w:rPr>
          <w:rFonts w:hint="eastAsia" w:ascii="仿宋" w:hAnsi="仿宋" w:eastAsia="仿宋" w:cs="仿宋"/>
          <w:b/>
          <w:bCs/>
          <w:color w:val="000000"/>
          <w:kern w:val="0"/>
          <w:sz w:val="28"/>
          <w:szCs w:val="28"/>
          <w:highlight w:val="none"/>
          <w:shd w:val="clear" w:color="auto" w:fill="FFFFFF"/>
          <w:lang w:val="en-US" w:eastAsia="zh-CN"/>
        </w:rPr>
        <w:t>结余</w:t>
      </w:r>
      <w:r>
        <w:rPr>
          <w:rFonts w:hint="eastAsia" w:ascii="仿宋" w:hAnsi="仿宋" w:eastAsia="仿宋" w:cs="仿宋"/>
          <w:b/>
          <w:bCs/>
          <w:color w:val="000000"/>
          <w:kern w:val="0"/>
          <w:sz w:val="28"/>
          <w:szCs w:val="28"/>
          <w:highlight w:val="none"/>
          <w:shd w:val="clear" w:color="auto" w:fill="FFFFFF"/>
        </w:rPr>
        <w:t>情况</w:t>
      </w:r>
    </w:p>
    <w:p>
      <w:pPr>
        <w:bidi w:val="0"/>
        <w:ind w:firstLine="560" w:firstLineChars="200"/>
        <w:rPr>
          <w:rFonts w:hint="eastAsia" w:ascii="仿宋" w:hAnsi="仿宋" w:eastAsia="仿宋" w:cs="仿宋"/>
          <w:color w:val="000000"/>
          <w:kern w:val="0"/>
          <w:sz w:val="28"/>
          <w:szCs w:val="28"/>
          <w:highlight w:val="none"/>
          <w:shd w:val="clear" w:color="auto" w:fill="FFFFFF"/>
          <w:lang w:val="en-US" w:eastAsia="zh-CN"/>
        </w:rPr>
      </w:pPr>
      <w:r>
        <w:rPr>
          <w:rFonts w:hint="eastAsia" w:ascii="仿宋" w:hAnsi="仿宋" w:eastAsia="仿宋" w:cs="仿宋"/>
          <w:color w:val="000000"/>
          <w:kern w:val="0"/>
          <w:sz w:val="28"/>
          <w:szCs w:val="28"/>
          <w:highlight w:val="none"/>
          <w:shd w:val="clear" w:color="auto" w:fill="FFFFFF"/>
          <w:lang w:val="en-US" w:eastAsia="zh-CN"/>
        </w:rPr>
        <w:t>临猗县老干部局2020年年初无财政结转资金，年末无财政结余资金。</w:t>
      </w:r>
    </w:p>
    <w:p>
      <w:pPr>
        <w:bidi w:val="0"/>
        <w:ind w:firstLine="560" w:firstLineChars="200"/>
        <w:rPr>
          <w:rFonts w:hint="default" w:ascii="仿宋" w:hAnsi="仿宋" w:eastAsia="仿宋" w:cs="仿宋"/>
          <w:color w:val="000000"/>
          <w:kern w:val="0"/>
          <w:sz w:val="28"/>
          <w:szCs w:val="28"/>
          <w:highlight w:val="none"/>
          <w:shd w:val="clear" w:color="auto" w:fill="FFFFFF"/>
          <w:lang w:val="en-US" w:eastAsia="zh-CN"/>
        </w:rPr>
      </w:pPr>
      <w:r>
        <w:rPr>
          <w:rFonts w:hint="eastAsia" w:ascii="仿宋" w:hAnsi="仿宋" w:eastAsia="仿宋" w:cs="仿宋"/>
          <w:color w:val="000000"/>
          <w:kern w:val="0"/>
          <w:sz w:val="28"/>
          <w:szCs w:val="28"/>
          <w:highlight w:val="none"/>
          <w:shd w:val="clear" w:color="auto" w:fill="FFFFFF"/>
          <w:lang w:val="en-US" w:eastAsia="zh-CN"/>
        </w:rPr>
        <w:t>临猗县老干部局2020年年初非财政拨款结转资金73,023.32元，年末非财政拨款结余资金1,85.67元。本次未将非财政拨款结转资金纳入部门整体支出绩效评价。</w:t>
      </w:r>
    </w:p>
    <w:p>
      <w:pPr>
        <w:widowControl/>
        <w:snapToGrid w:val="0"/>
        <w:spacing w:line="578" w:lineRule="exact"/>
        <w:ind w:firstLine="562" w:firstLineChars="200"/>
        <w:rPr>
          <w:rFonts w:hint="eastAsia" w:ascii="仿宋" w:hAnsi="仿宋" w:eastAsia="仿宋" w:cs="仿宋"/>
          <w:b/>
          <w:bCs/>
          <w:color w:val="000000"/>
          <w:kern w:val="0"/>
          <w:sz w:val="28"/>
          <w:szCs w:val="28"/>
          <w:highlight w:val="none"/>
          <w:shd w:val="clear" w:color="auto" w:fill="FFFFFF"/>
        </w:rPr>
      </w:pPr>
      <w:r>
        <w:rPr>
          <w:rFonts w:hint="eastAsia" w:ascii="仿宋" w:hAnsi="仿宋" w:eastAsia="仿宋" w:cs="仿宋"/>
          <w:b/>
          <w:bCs/>
          <w:color w:val="000000"/>
          <w:kern w:val="0"/>
          <w:sz w:val="28"/>
          <w:szCs w:val="28"/>
          <w:highlight w:val="none"/>
          <w:shd w:val="clear" w:color="auto" w:fill="FFFFFF"/>
          <w:lang w:val="en-US" w:eastAsia="zh-CN"/>
        </w:rPr>
        <w:t>5</w:t>
      </w:r>
      <w:r>
        <w:rPr>
          <w:rFonts w:hint="eastAsia" w:ascii="仿宋" w:hAnsi="仿宋" w:eastAsia="仿宋" w:cs="仿宋"/>
          <w:b/>
          <w:bCs/>
          <w:color w:val="000000"/>
          <w:kern w:val="0"/>
          <w:sz w:val="28"/>
          <w:szCs w:val="28"/>
          <w:highlight w:val="none"/>
          <w:shd w:val="clear" w:color="auto" w:fill="FFFFFF"/>
          <w:lang w:eastAsia="zh-CN"/>
        </w:rPr>
        <w:t>.</w:t>
      </w:r>
      <w:r>
        <w:rPr>
          <w:rFonts w:hint="eastAsia" w:ascii="仿宋" w:hAnsi="仿宋" w:eastAsia="仿宋" w:cs="仿宋"/>
          <w:b/>
          <w:bCs/>
          <w:color w:val="000000"/>
          <w:kern w:val="0"/>
          <w:sz w:val="28"/>
          <w:szCs w:val="28"/>
          <w:highlight w:val="none"/>
          <w:shd w:val="clear" w:color="auto" w:fill="FFFFFF"/>
        </w:rPr>
        <w:t>资金结转</w:t>
      </w:r>
      <w:r>
        <w:rPr>
          <w:rFonts w:hint="eastAsia" w:ascii="仿宋" w:hAnsi="仿宋" w:eastAsia="仿宋" w:cs="仿宋"/>
          <w:b/>
          <w:bCs/>
          <w:color w:val="000000"/>
          <w:kern w:val="0"/>
          <w:sz w:val="28"/>
          <w:szCs w:val="28"/>
          <w:highlight w:val="none"/>
          <w:shd w:val="clear" w:color="auto" w:fill="FFFFFF"/>
          <w:lang w:val="en-US" w:eastAsia="zh-CN"/>
        </w:rPr>
        <w:t>结余</w:t>
      </w:r>
      <w:r>
        <w:rPr>
          <w:rFonts w:hint="eastAsia" w:ascii="仿宋" w:hAnsi="仿宋" w:eastAsia="仿宋" w:cs="仿宋"/>
          <w:b/>
          <w:bCs/>
          <w:color w:val="000000"/>
          <w:kern w:val="0"/>
          <w:sz w:val="28"/>
          <w:szCs w:val="28"/>
          <w:highlight w:val="none"/>
          <w:shd w:val="clear" w:color="auto" w:fill="FFFFFF"/>
        </w:rPr>
        <w:t>情况</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textAlignment w:val="auto"/>
        <w:rPr>
          <w:rFonts w:hint="eastAsia"/>
          <w:sz w:val="28"/>
          <w:szCs w:val="28"/>
          <w:highlight w:val="none"/>
          <w:lang w:val="en-US" w:eastAsia="zh-CN"/>
        </w:rPr>
      </w:pPr>
      <w:r>
        <w:rPr>
          <w:rFonts w:hint="eastAsia"/>
          <w:sz w:val="28"/>
          <w:szCs w:val="28"/>
          <w:highlight w:val="none"/>
          <w:lang w:val="en-US" w:eastAsia="zh-CN"/>
        </w:rPr>
        <w:t>临猗县老干部局2020年预算支出是1,977,490.00元，2019年预算支出是1,703,914.00元。分析详见表3，较上年增减变动符合部门履职需要。</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0" w:firstLineChars="200"/>
        <w:jc w:val="center"/>
        <w:textAlignment w:val="auto"/>
        <w:rPr>
          <w:rFonts w:hint="default"/>
          <w:sz w:val="28"/>
          <w:szCs w:val="28"/>
          <w:highlight w:val="none"/>
          <w:lang w:val="en-US" w:eastAsia="zh-CN"/>
        </w:rPr>
      </w:pPr>
      <w:r>
        <w:rPr>
          <w:rFonts w:hint="eastAsia"/>
          <w:sz w:val="28"/>
          <w:szCs w:val="28"/>
          <w:highlight w:val="none"/>
          <w:lang w:val="en-US" w:eastAsia="zh-CN"/>
        </w:rPr>
        <w:t>表3  临猗县老干部局预算增减变动表</w:t>
      </w:r>
    </w:p>
    <w:tbl>
      <w:tblPr>
        <w:tblStyle w:val="8"/>
        <w:tblW w:w="9652" w:type="dxa"/>
        <w:tblInd w:w="-6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2168"/>
        <w:gridCol w:w="1997"/>
        <w:gridCol w:w="1132"/>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2032" w:type="dxa"/>
            <w:shd w:val="clear" w:color="auto" w:fill="BEBEBE" w:themeFill="background1" w:themeFillShade="BF"/>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项目</w:t>
            </w:r>
          </w:p>
        </w:tc>
        <w:tc>
          <w:tcPr>
            <w:tcW w:w="2168" w:type="dxa"/>
            <w:shd w:val="clear" w:color="auto" w:fill="BEBEBE" w:themeFill="background1" w:themeFillShade="BF"/>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2019年</w:t>
            </w:r>
          </w:p>
        </w:tc>
        <w:tc>
          <w:tcPr>
            <w:tcW w:w="1997" w:type="dxa"/>
            <w:shd w:val="clear" w:color="auto" w:fill="BEBEBE" w:themeFill="background1" w:themeFillShade="BF"/>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2020年</w:t>
            </w:r>
          </w:p>
        </w:tc>
        <w:tc>
          <w:tcPr>
            <w:tcW w:w="1132" w:type="dxa"/>
            <w:shd w:val="clear" w:color="auto" w:fill="BEBEBE" w:themeFill="background1" w:themeFillShade="BF"/>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变动幅度</w:t>
            </w:r>
          </w:p>
        </w:tc>
        <w:tc>
          <w:tcPr>
            <w:tcW w:w="2323" w:type="dxa"/>
            <w:shd w:val="clear" w:color="auto" w:fill="BEBEBE" w:themeFill="background1" w:themeFillShade="BF"/>
            <w:vAlign w:val="top"/>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总预算</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1,703,914.00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1,977,490.00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16.06%</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基本支出</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965,914.00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1,139,490.00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17.91%</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工资福利支出</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874,110.00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1,006,568.00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15.15%</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工资津贴奖金</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676,410.00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789,995.00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16.79%</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人员新增1名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社保及公积金</w:t>
            </w:r>
          </w:p>
        </w:tc>
        <w:tc>
          <w:tcPr>
            <w:tcW w:w="2168"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 xml:space="preserve">197,700.00 </w:t>
            </w:r>
          </w:p>
        </w:tc>
        <w:tc>
          <w:tcPr>
            <w:tcW w:w="1997"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 xml:space="preserve">216,573.00 </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9.55%</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人员新增1名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商品服务支出</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80,870.00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109,136.00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34.95%</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办公费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8,960.00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10,000.00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11.61%</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18"/>
                <w:szCs w:val="18"/>
                <w:highlight w:val="none"/>
                <w:vertAlign w:val="baseline"/>
                <w:lang w:val="en-US" w:eastAsia="zh-CN"/>
              </w:rPr>
              <w:t>行政1960元，事业1840元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水费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1,000.00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1,000.00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电费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2,000.00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2,000.00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邮电费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3,000.00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3,000.00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取暖费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5,500.00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6,000.00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9.09%</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正常增长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会议费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2,000.00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3,000.00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50.00%</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正常增长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培训费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2,000.00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4,040.00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102.00%</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正常增长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工会经费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6,055.00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8,507.00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40.50%</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正常增长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福利费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6,055.00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7,089.00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17.08%</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正常增长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其他交通费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42,300.00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64,500.00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52.48%</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公务员车补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印刷费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2,000.00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-100.00%</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分至项目支出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对个人家庭补助</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10,934.00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11,786.00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7.79%</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正常增长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遗属补助</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8,864.00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9,344.00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5.42%</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正常增长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退休人员医疗费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720.00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792.00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10.00%</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正常增长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独生子女奖励</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1,350.00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1,650.00</w:t>
            </w:r>
          </w:p>
        </w:tc>
        <w:tc>
          <w:tcPr>
            <w:tcW w:w="1132" w:type="dxa"/>
            <w:vAlign w:val="bottom"/>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22.22%</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val="0"/>
                <w:bCs w:val="0"/>
                <w:sz w:val="22"/>
                <w:szCs w:val="22"/>
                <w:highlight w:val="none"/>
                <w:vertAlign w:val="baseline"/>
                <w:lang w:val="en-US" w:eastAsia="zh-CN"/>
              </w:rPr>
            </w:pPr>
            <w:r>
              <w:rPr>
                <w:rFonts w:hint="eastAsia" w:ascii="仿宋" w:hAnsi="仿宋" w:eastAsia="仿宋" w:cs="仿宋"/>
                <w:b w:val="0"/>
                <w:bCs w:val="0"/>
                <w:sz w:val="22"/>
                <w:szCs w:val="22"/>
                <w:highlight w:val="none"/>
                <w:vertAlign w:val="baseline"/>
                <w:lang w:val="en-US" w:eastAsia="zh-CN"/>
              </w:rPr>
              <w:t>正常增长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项目支出</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738,000.00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838,000.00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r>
              <w:rPr>
                <w:rFonts w:hint="eastAsia" w:ascii="仿宋" w:hAnsi="仿宋" w:eastAsia="仿宋" w:cs="仿宋"/>
                <w:b/>
                <w:bCs/>
                <w:sz w:val="22"/>
                <w:szCs w:val="22"/>
                <w:highlight w:val="none"/>
                <w:vertAlign w:val="baseline"/>
                <w:lang w:val="en-US" w:eastAsia="zh-CN"/>
              </w:rPr>
              <w:t>13.55%</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b/>
                <w:bCs/>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老干部活动经费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20,000.00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20,000.00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老年大学经费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13,000.00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13,000.00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老干部帮扶基金</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50,000.00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30,000.00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-40.00%</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帮扶对象非固定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老干部管理业务费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45,000.00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45,000.00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老干部特需费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400,000.00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520,000.00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+30.00%</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按照新增100人预算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老年书画协会经费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老年音乐舞蹈协会</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老年体协经费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5,000.00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老干部活动中心</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15,000.00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15,000.00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老干部体检费</w:t>
            </w:r>
          </w:p>
        </w:tc>
        <w:tc>
          <w:tcPr>
            <w:tcW w:w="2168"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180,000.00</w:t>
            </w:r>
          </w:p>
        </w:tc>
        <w:tc>
          <w:tcPr>
            <w:tcW w:w="1997"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180,000.00</w:t>
            </w:r>
          </w:p>
        </w:tc>
        <w:tc>
          <w:tcPr>
            <w:tcW w:w="1132"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r>
              <w:rPr>
                <w:rFonts w:hint="eastAsia" w:ascii="仿宋" w:hAnsi="仿宋" w:eastAsia="仿宋" w:cs="仿宋"/>
                <w:sz w:val="22"/>
                <w:szCs w:val="22"/>
                <w:highlight w:val="none"/>
                <w:vertAlign w:val="baseline"/>
                <w:lang w:val="en-US" w:eastAsia="zh-CN"/>
              </w:rPr>
              <w:t>-</w:t>
            </w:r>
          </w:p>
        </w:tc>
        <w:tc>
          <w:tcPr>
            <w:tcW w:w="2323" w:type="dxa"/>
          </w:tcPr>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 w:hAnsi="仿宋" w:eastAsia="仿宋" w:cs="仿宋"/>
                <w:sz w:val="22"/>
                <w:szCs w:val="22"/>
                <w:highlight w:val="none"/>
                <w:vertAlign w:val="baseline"/>
                <w:lang w:val="en-US" w:eastAsia="zh-CN"/>
              </w:rPr>
            </w:pPr>
          </w:p>
        </w:tc>
      </w:tr>
    </w:tbl>
    <w:p>
      <w:pPr>
        <w:rPr>
          <w:rFonts w:hint="eastAsia" w:ascii="仿宋" w:hAnsi="仿宋" w:eastAsia="仿宋" w:cs="仿宋"/>
          <w:b/>
          <w:bCs w:val="0"/>
          <w:sz w:val="28"/>
          <w:szCs w:val="28"/>
          <w:highlight w:val="none"/>
          <w:lang w:val="en-US" w:eastAsia="zh-CN" w:bidi="ar"/>
        </w:rPr>
      </w:pPr>
      <w:r>
        <w:rPr>
          <w:rFonts w:hint="eastAsia" w:ascii="仿宋" w:hAnsi="仿宋" w:eastAsia="仿宋" w:cs="仿宋"/>
          <w:b/>
          <w:bCs w:val="0"/>
          <w:sz w:val="28"/>
          <w:szCs w:val="28"/>
          <w:highlight w:val="none"/>
          <w:lang w:val="en-US" w:eastAsia="zh-CN" w:bidi="ar"/>
        </w:rPr>
        <w:t>三、资金使用中存在的问题</w:t>
      </w:r>
    </w:p>
    <w:p>
      <w:pPr>
        <w:pStyle w:val="2"/>
        <w:ind w:firstLine="560" w:firstLineChars="200"/>
        <w:rPr>
          <w:rFonts w:hint="eastAsia" w:ascii="仿宋" w:hAnsi="仿宋" w:eastAsia="仿宋" w:cs="仿宋"/>
          <w:b w:val="0"/>
          <w:bCs/>
          <w:sz w:val="28"/>
          <w:szCs w:val="28"/>
          <w:highlight w:val="none"/>
          <w:lang w:val="en-US" w:eastAsia="zh-CN" w:bidi="ar"/>
        </w:rPr>
      </w:pPr>
      <w:r>
        <w:rPr>
          <w:rFonts w:hint="eastAsia" w:ascii="仿宋" w:hAnsi="仿宋" w:eastAsia="仿宋" w:cs="仿宋"/>
          <w:b w:val="0"/>
          <w:bCs/>
          <w:sz w:val="28"/>
          <w:szCs w:val="28"/>
          <w:highlight w:val="none"/>
          <w:lang w:val="en-US" w:eastAsia="zh-CN" w:bidi="ar"/>
        </w:rPr>
        <w:t>经过查看临猗县老干部局财务凭证等相关资料，存在以下问题：①2020年3月31日10#凭证，其他交通费用列支5,000.00元，后附票据为已作废长条客运票；②2020年9月30日8#凭证，列支老年书画协会经费5,000.00元，后附票据为电脑维修，实际业务内容与票据内容不符。③2020年8月31日5#凭证，为组织老干部外出参观学习，未附人员名单，附件不全。④2020年11月30日20#凭证，项目支出-老干部体检费共列支27,035.20元，共体检75人，包括老干部局职工12人，县团级离退休干部35人，正能量先进个人老干部28人；其中老干部特需费支26,734.00元，老年音乐舞蹈协会经费支5.2元，老干部帮扶基金支192.00元，老干部支部活动经费支45.00元，日常公用经费支59.00元；问题为：项目支出体检费不应支出本部门职工的体检费，体检费支出不应挪用其他项目经费。</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562" w:firstLineChars="200"/>
        <w:textAlignment w:val="auto"/>
        <w:outlineLvl w:val="0"/>
        <w:rPr>
          <w:rFonts w:hint="eastAsia" w:ascii="仿宋" w:hAnsi="仿宋" w:eastAsia="仿宋" w:cs="仿宋"/>
          <w:b/>
          <w:bCs w:val="0"/>
          <w:sz w:val="28"/>
          <w:szCs w:val="28"/>
          <w:highlight w:val="none"/>
          <w:lang w:val="en-US" w:eastAsia="zh-CN" w:bidi="ar"/>
        </w:rPr>
      </w:pPr>
      <w:r>
        <w:rPr>
          <w:rFonts w:hint="eastAsia" w:ascii="仿宋" w:hAnsi="仿宋" w:eastAsia="仿宋" w:cs="仿宋"/>
          <w:b/>
          <w:bCs w:val="0"/>
          <w:sz w:val="28"/>
          <w:szCs w:val="28"/>
          <w:highlight w:val="none"/>
          <w:lang w:val="en-US" w:eastAsia="zh-CN" w:bidi="ar"/>
        </w:rPr>
        <w:t>四、建议</w:t>
      </w:r>
    </w:p>
    <w:p>
      <w:pPr>
        <w:pStyle w:val="2"/>
        <w:rPr>
          <w:rFonts w:hint="default"/>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b w:val="0"/>
          <w:bCs/>
          <w:sz w:val="28"/>
          <w:szCs w:val="28"/>
          <w:highlight w:val="none"/>
          <w:lang w:val="en-US" w:eastAsia="zh-CN" w:bidi="ar"/>
        </w:rPr>
        <w:t xml:space="preserve">    强化内控管理，对内部经济活动的风险评估至少每年进行一次，在全面、系统、准确分析单位各经济业务活动风险的基础上，确定经济活动的风险点，剖析风险存在的原因，以及导致风险发生的可能性，以确保及时有效控制风险。</w:t>
      </w:r>
    </w:p>
    <w:p>
      <w:pPr>
        <w:rPr>
          <w:rFonts w:hint="default"/>
          <w:lang w:val="en-US" w:eastAsia="zh-CN"/>
        </w:rPr>
      </w:pPr>
    </w:p>
    <w:sectPr>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4"/>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BDF86B"/>
    <w:multiLevelType w:val="singleLevel"/>
    <w:tmpl w:val="EDBDF86B"/>
    <w:lvl w:ilvl="0" w:tentative="0">
      <w:start w:val="1"/>
      <w:numFmt w:val="decimal"/>
      <w:suff w:val="nothing"/>
      <w:lvlText w:val="（%1）"/>
      <w:lvlJc w:val="left"/>
    </w:lvl>
  </w:abstractNum>
  <w:abstractNum w:abstractNumId="1">
    <w:nsid w:val="602F68EA"/>
    <w:multiLevelType w:val="singleLevel"/>
    <w:tmpl w:val="602F68EA"/>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5MGRlZGExMmU4MzE3MzYzNTNiZjIwMDQwYjkzODYifQ=="/>
  </w:docVars>
  <w:rsids>
    <w:rsidRoot w:val="05294AF2"/>
    <w:rsid w:val="05294AF2"/>
    <w:rsid w:val="0B685284"/>
    <w:rsid w:val="0D6A67AB"/>
    <w:rsid w:val="13F914D9"/>
    <w:rsid w:val="1FBC0D64"/>
    <w:rsid w:val="3FE420B5"/>
    <w:rsid w:val="59670A62"/>
    <w:rsid w:val="72D92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rPr>
      <w:rFonts w:ascii="仿宋_GB2312" w:eastAsia="仿宋_GB2312"/>
      <w:sz w:val="30"/>
    </w:rPr>
  </w:style>
  <w:style w:type="paragraph" w:styleId="3">
    <w:name w:val="Block Text"/>
    <w:basedOn w:val="1"/>
    <w:qFormat/>
    <w:uiPriority w:val="0"/>
    <w:pPr>
      <w:spacing w:before="100" w:beforeAutospacing="1"/>
      <w:ind w:left="700" w:leftChars="700" w:right="700" w:rightChars="700"/>
    </w:p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table" w:styleId="8">
    <w:name w:val="Table Grid"/>
    <w:basedOn w:val="7"/>
    <w:qFormat/>
    <w:uiPriority w:val="0"/>
    <w:rPr>
      <w:rFonts w:ascii="Calibri" w:hAnsi="Calibri"/>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0">
    <w:name w:val="闻政-正文段落文字"/>
    <w:basedOn w:val="1"/>
    <w:qFormat/>
    <w:uiPriority w:val="0"/>
    <w:pPr>
      <w:spacing w:line="500" w:lineRule="exact"/>
      <w:ind w:firstLine="200" w:firstLineChars="200"/>
    </w:pPr>
    <w:rPr>
      <w:rFonts w:eastAsia="仿宋_GB2312"/>
      <w:kern w:val="0"/>
      <w:sz w:val="28"/>
      <w:szCs w:val="28"/>
    </w:rPr>
  </w:style>
  <w:style w:type="paragraph" w:customStyle="1" w:styleId="11">
    <w:name w:val="闻政正文"/>
    <w:qFormat/>
    <w:uiPriority w:val="99"/>
    <w:pPr>
      <w:framePr w:wrap="around" w:vAnchor="margin" w:hAnchor="text" w:yAlign="top"/>
      <w:widowControl w:val="0"/>
      <w:spacing w:line="500" w:lineRule="exact"/>
      <w:ind w:firstLine="560"/>
      <w:jc w:val="both"/>
    </w:pPr>
    <w:rPr>
      <w:rFonts w:ascii="Arial Unicode MS" w:hAnsi="Arial Unicode MS" w:eastAsia="宋体" w:cs="Arial Unicode MS"/>
      <w:color w:val="000000"/>
      <w:sz w:val="28"/>
      <w:szCs w:val="2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56.jpeg"/><Relationship Id="rId63" Type="http://schemas.openxmlformats.org/officeDocument/2006/relationships/image" Target="media/image55.jpeg"/><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footer" Target="footer4.xml"/><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footer" Target="footer3.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png"/><Relationship Id="rId4" Type="http://schemas.openxmlformats.org/officeDocument/2006/relationships/footer" Target="foot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2021-11-18T09:03:00Z</dcterms:created>
  <dc:creator>呼呼。</dc:creator>
  <cp:lastModifiedBy>Administrator</cp:lastModifiedBy>
  <dcterms:modified xsi:type="dcterms:W3CDTF">2023-11-15T08:51:07Z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906AA6F8B34B4A528AECED1C454D0BD9</vt:lpwstr>
  </property>
</Properties>
</file>