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4"/>
          <w:szCs w:val="34"/>
          <w:highlight w:val="none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附件</w:t>
      </w:r>
      <w:r>
        <w:rPr>
          <w:rFonts w:ascii="仿宋_GB2312" w:hAnsi="仿宋_GB2312" w:eastAsia="仿宋_GB2312" w:cs="仿宋_GB2312"/>
          <w:sz w:val="34"/>
          <w:szCs w:val="34"/>
          <w:highlight w:val="none"/>
        </w:rPr>
        <w:t>1: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本次检验项目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  <w:highlight w:val="none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检验依据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抽检依据是《食品安全国家标准 食品中农药最大残留限量》（</w:t>
      </w:r>
      <w:r>
        <w:rPr>
          <w:rFonts w:ascii="仿宋_GB2312" w:hAnsi="仿宋_GB2312" w:eastAsia="仿宋_GB2312" w:cs="仿宋_GB2312"/>
          <w:sz w:val="34"/>
          <w:szCs w:val="34"/>
          <w:highlight w:val="none"/>
        </w:rPr>
        <w:t>GB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4"/>
          <w:szCs w:val="34"/>
          <w:highlight w:val="none"/>
        </w:rPr>
        <w:t>276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ascii="仿宋_GB2312" w:hAnsi="仿宋_GB2312" w:eastAsia="仿宋_GB2312" w:cs="仿宋_GB2312"/>
          <w:sz w:val="34"/>
          <w:szCs w:val="34"/>
          <w:highlight w:val="none"/>
        </w:rPr>
        <w:t>-20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）、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食品安全国家标准 食品添加剂食用标准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》）（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《食品安全国家标准 食品中污染物限量》（</w:t>
      </w:r>
      <w:r>
        <w:rPr>
          <w:rFonts w:ascii="仿宋_GB2312" w:hAnsi="仿宋_GB2312" w:eastAsia="仿宋_GB2312" w:cs="仿宋_GB2312"/>
          <w:sz w:val="34"/>
          <w:szCs w:val="34"/>
          <w:highlight w:val="none"/>
        </w:rPr>
        <w:t>GB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4"/>
          <w:szCs w:val="34"/>
          <w:highlight w:val="none"/>
        </w:rPr>
        <w:t>2762-20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）等标准指标的要求。</w:t>
      </w:r>
    </w:p>
    <w:p>
      <w:pPr>
        <w:numPr>
          <w:ilvl w:val="0"/>
          <w:numId w:val="1"/>
        </w:numPr>
        <w:spacing w:line="520" w:lineRule="exact"/>
        <w:jc w:val="left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left="680" w:leftChars="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食用农产品</w:t>
      </w:r>
    </w:p>
    <w:p>
      <w:pPr>
        <w:numPr>
          <w:ilvl w:val="1"/>
          <w:numId w:val="2"/>
        </w:numPr>
        <w:spacing w:line="600" w:lineRule="exact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蔬菜类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检验项目为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铅(以Pb计)、镉(以Cd计)、乙酰甲胺磷、三唑磷、乐果、噻虫胺、甲氨基阿维菌素苯甲酸盐、氟虫腈、克百威、啶虫脒、吡唑醚菌酯、吡虫啉、噻虫嗪、甲拌磷、倍硫磷、氧乐果、水胺硫磷、氯氰菊酯和高效氯氰菊酯、甲胺磷、氯氟氰菊酯和高效氯氟氰菊酯、联苯菊酯、敌敌畏、杀扑磷、毒死蜱、丙溴磷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等项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指标。</w:t>
      </w:r>
    </w:p>
    <w:p>
      <w:pPr>
        <w:numPr>
          <w:ilvl w:val="1"/>
          <w:numId w:val="2"/>
        </w:numPr>
        <w:spacing w:line="600" w:lineRule="exact"/>
        <w:ind w:left="1440" w:hanging="36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水果类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检验项目为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三唑磷、甲拌磷、丙溴磷、狄氏剂、水胺硫磷、氧乐果、氯氟氰菊酯和高效氯氟氰菊酯、杀扑磷、克百威、毒死蜱、2、4-滴和2、4-滴钠盐、联苯菊酯、氯唑磷、苯醚甲环唑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等项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指标。</w:t>
      </w:r>
    </w:p>
    <w:p>
      <w:pPr>
        <w:numPr>
          <w:ilvl w:val="1"/>
          <w:numId w:val="2"/>
        </w:numPr>
        <w:spacing w:line="600" w:lineRule="exact"/>
        <w:ind w:left="1440" w:hanging="36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bookmarkStart w:id="0" w:name="OLE_LINK1"/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畜禽肉及副产品类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检验项目为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挥发性盐基氮、呋喃唑酮代谢物、呋喃西林代谢物、呋喃它酮代谢物、氯霉素、五氯酚酸钠(以五氯酚计)、氧氟沙星、培氟沙星、诺氟沙星、恩诺沙星、沙拉沙星、替米考星、磺胺类(总量)、甲氧苄啶、氟苯尼考、多西环素、土霉素、金霉素、甲硝唑、尼卡巴嗪、环丙氨嗪、土霉素/金霉素/四环素(组合含量)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等项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指标。</w:t>
      </w:r>
    </w:p>
    <w:p>
      <w:pPr>
        <w:numPr>
          <w:ilvl w:val="1"/>
          <w:numId w:val="2"/>
        </w:numPr>
        <w:spacing w:line="600" w:lineRule="exact"/>
        <w:ind w:left="1440" w:hanging="36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豆类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检验项目为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铅(以Pb计)、铬(以Cr计)、赭曲霉毒素A、吡虫啉、环丙唑醇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等项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指标。</w:t>
      </w:r>
    </w:p>
    <w:p>
      <w:pPr>
        <w:numPr>
          <w:ilvl w:val="1"/>
          <w:numId w:val="2"/>
        </w:numPr>
        <w:spacing w:line="600" w:lineRule="exact"/>
        <w:ind w:left="1440" w:hanging="36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生干坚果与籽类食品类检验项目为酸价(以脂肪计)(KOH)、过氧化值(以脂肪计)、镉(以Cd计)、黄曲霉毒素B₁、嘧菌酯等项目指标。</w:t>
      </w:r>
    </w:p>
    <w:p>
      <w:pPr>
        <w:numPr>
          <w:ilvl w:val="1"/>
          <w:numId w:val="2"/>
        </w:numPr>
        <w:spacing w:line="600" w:lineRule="exact"/>
        <w:ind w:left="1440" w:hanging="36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水产品类检验项目为多氯联苯、孔雀石绿、氯霉素、氟苯尼考、呋喃妥因代谢物、呋喃西林代谢物、呋喃唑酮代谢物、恩诺沙星、磺胺类(总量)、甲氧苄啶、甲硝唑、地西泮、五氯酚酸钠(以五氯酚计)、氧氟沙星、诺氟沙星、培氟沙星等项目指标。</w:t>
      </w:r>
    </w:p>
    <w:p>
      <w:pPr>
        <w:numPr>
          <w:ilvl w:val="1"/>
          <w:numId w:val="2"/>
        </w:numPr>
        <w:spacing w:line="600" w:lineRule="exact"/>
        <w:ind w:left="1440" w:hanging="360"/>
        <w:rPr>
          <w:rFonts w:ascii="仿宋_GB2312" w:hAnsi="仿宋_GB2312" w:eastAsia="仿宋_GB2312" w:cs="Times New Roman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鲜蛋类检验项目为甲硝唑、地美硝唑、呋喃唑酮代谢物、氟虫腈、氯霉素、氟苯尼考、甲砜霉素、恩诺沙星、氧氟沙星、沙拉沙星、甲氧苄啶、磺胺类(总量)、多西环素等项目指标。</w:t>
      </w:r>
    </w:p>
    <w:bookmarkEnd w:id="0"/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 xml:space="preserve">   二、流通食品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ascii="仿宋_GB2312" w:hAnsi="仿宋_GB2312" w:eastAsia="仿宋_GB2312" w:cs="Times New Roman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1.饼干类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酸价(以脂肪计)(KOH)、过氧化值(以脂肪计)、铝的残留量(干样品、以Al计)、甜蜜素(以环己基氨基磺酸计)、二氧化硫残留量、菌落总数、大肠菌群、霉菌、山梨酸及其钾盐(以山梨酸计)、脱氢乙酸及其钠盐(以脱氢乙酸计)、糖精钠(以糖精计)、金黄色葡萄球菌、沙门氏菌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ascii="仿宋_GB2312" w:hAnsi="仿宋_GB2312" w:eastAsia="仿宋_GB2312" w:cs="Times New Roman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2.茶叶及相关制品类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检验项目为草甘膦、吡虫啉、乙酰甲胺磷、联苯菊酯、灭多威、氰戊菊酯和S-氰戊菊酯、甲拌磷、克百威、水胺硫磷、氧乐果、毒死蜱、啶虫脒、多菌灵、茚虫威、呋虫胺、三氯杀螨醇等项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3.炒货食品及坚果制品类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酸价(以脂肪计)(KOH)、过氧化值(以脂肪计)、铅(以Pb计)、二氧化硫残留量、甜蜜素(以环己基氨基磺酸计)、黄曲霉毒素B₁、苯甲酸及其钠盐(以苯甲酸计)、山梨酸及其钾盐(以山梨酸计)、糖精钠(以糖精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4.蛋制品类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检验项目为菌落总数、大肠菌群、苯甲酸及其钠盐(以苯甲酸计)、山梨酸及其钾盐(以山梨酸计)、沙门氏菌、铅(以Pb计)等项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5.淀粉及淀粉制品类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检验项目为苯甲酸及其钠盐(以苯甲酸计)、山梨酸及其钾盐(以山梨酸计)、铝的残留量(干样品、以Al计)、二氧化硫残留量、铅(以Pb计)、菌落总数、大肠菌群、霉菌和酵母、脱氢乙酸及其钠盐(以脱氢乙酸计)等项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.豆制品类检验项目为铅(以Pb计)、二氧化硫残留量、铝的残留量(干样品、以Al计)、碱性嫩黄、苯甲酸及其钠盐(以苯甲酸计)、山梨酸及其钾盐(以山梨酸计)、脱氢乙酸及其钠盐(以脱氢乙酸计)、丙酸及其钠盐、钙盐(以丙酸计)、糖精钠(以糖精计)、三氯蔗糖、大肠菌群、沙门氏菌、金黄色葡萄球菌等项目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.方便食品类检验项目为沙门氏菌、金黄色葡萄球菌、苯甲酸及其钠盐(以苯甲酸计)、山梨酸及其钾盐(以山梨酸计)、脱氢乙酸及其钠盐(以脱氢乙酸计)、糖精钠(以糖精计)、三氯蔗糖、水分、酸价(以脂肪计)(KOH)、过氧化值(以脂肪计)、菌落总数、大肠菌群、霉菌等项目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8.蜂产品类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铅(以Pb计)、菌落总数、霉菌计数、嗜渗酵母计数、果糖和葡萄糖、蔗糖、山梨酸及其钾盐(以山梨酸计)、氯霉素、呋喃西林代谢物、呋喃妥因代谢物、呋喃唑酮代谢物、甲硝唑、双甲脒、氟胺氰菊酯、诺氟沙星、氧氟沙星、培氟沙星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9.糕点类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酸价(以脂肪计)(KOH)、过氧化值(以脂肪计)、铅(以Pb计)、甜蜜素(以环己基氨基磺酸计)、铝的残留量(干样品、以Al计)、丙二醇、菌落总数、大肠菌群、金黄色葡萄球菌、沙门氏菌、霉菌、苯甲酸及其钠盐(以苯甲酸计)、山梨酸及其钾盐(以山梨酸计)、糖精钠(以糖精计)、安赛蜜、丙酸及其钠盐、钙盐(以丙酸计)、脱氢乙酸及其钠盐(以脱氢乙酸计)、纳他霉素、三氯蔗糖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10.罐头类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镉(以Cd计)、无机砷(以As计)、铅(以Pb计)、甜蜜素(以环己基氨基磺酸计)、商业无菌、柠檬黄、日落黄、苯甲酸及其钠盐(以苯甲酸计)、山梨酸及其钾盐(以山梨酸计)、糖精钠(以糖精计)、脱氢乙酸及其钠盐(以脱氢乙酸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11.酒类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检验项目为酒精度、铅(以Pb计)、甲醇、氰化物(以HCN计)、糖精钠(以糖精计)、甜蜜素(以环己基氨基磺酸计)、三氯蔗糖、甲醛等项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12.冷冻饮品类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检验项目为蛋白质、甜蜜素(以环己基氨基磺酸计)、糖精钠(以糖精计)、菌落总数、大肠菌群、沙门氏菌、单核细胞增生李斯特氏菌等项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13.粮食加工品类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苯甲酸及其钠盐(以苯甲酸计)、山梨酸及其钾盐(以山梨酸计)、脱氢乙酸及其钠盐(以脱氢乙酸计)、糖精钠(以糖精计)、无机砷(以As计)、二氧化硫残留量、铅(以Pb计)、镉(以Cd计)、脱氧雪腐镰刀菌烯醇、苯并[a]芘、玉米赤霉烯酮、赭曲霉毒素A、黄曲霉毒素B₁、偶氮甲酰胺、过氧化苯甲酰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14.肉制品类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过氧化值(以脂肪计)、铅(以Pb计)、镉(以Cd计)、铬(以Cr计)、总砷(以As计)、亚硝酸盐(以亚硝酸钠计)、菌落总数、大肠菌群、沙门氏菌、金黄色葡萄球菌、单核细胞增生李斯特氏菌、苯甲酸及其钠盐(以苯甲酸计)、山梨酸及其钾盐(以山梨酸计)、脱氢乙酸及其钠盐(以脱氢乙酸计)、纳他霉素、胭脂红、糖精钠(以糖精计)、氯霉素、酸性橙Ⅱ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15.乳制品类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检验项目为蛋白质、酸度、山梨酸及其钾盐(以山梨酸计)、三聚氰胺、金黄色葡萄球菌、沙门氏菌、大肠菌群、酵母、霉菌、非脂乳固体、丙二醇、商业无菌、脂肪等项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16.食糖类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检验项目为蔗糖分、还原糖分、色值、干燥失重、不溶于水杂质、螨、总糖分、二氧化硫残留量等项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17.食用油、油脂及其制品类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检验项目为酸价(KOH)、过氧化值、铅(以Pb计)、溶剂残留量、特丁基对苯二酚(TBHQ)、苯并[a]芘、乙基麦芽酚等项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18.蔬菜制品类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铅(以Pb计)、亚硝酸盐(以NaNO₂计)、甜蜜素(以环己基氨基磺酸计)、二氧化硫残留量、大肠菌群、苯甲酸及其钠盐(以苯甲酸计)、山梨酸及其钾盐(以山梨酸计)、脱氢乙酸及其钠盐(以脱氢乙酸计)、糖精钠(以糖精计)、阿斯巴甜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19.薯类和膨化食品类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水分、酸价(以脂肪计)(KOH)、过氧化值(以脂肪计)、大肠菌群、菌落总数、金黄色葡萄球菌、沙门氏菌、黄曲霉毒素B₁、糖精钠(以糖精计)、苯甲酸及其钠盐(以苯甲酸计)、山梨酸及其钾盐(以山梨酸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20.水产制品类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检验项目为铅(以Pb计)、镉(以Cd计)、多氯联苯、苯甲酸及其钠盐(以苯甲酸计)、山梨酸及其钾盐(以山梨酸计)、糖精钠(以糖精计)、脱氢乙酸及其钠盐(以脱氢乙酸计)等项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21.水果制品类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铅(以Pb计)、甜蜜素(以环己基氨基磺酸计)、二氧化硫残留量、菌落总数、霉菌、大肠菌群、苯甲酸及其钠盐(以苯甲酸计)、山梨酸及其钾盐(以山梨酸计)、脱氢乙酸及其钠盐(以脱氢乙酸计)、糖精钠(以糖精计)、胭脂红、苋菜红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22.速冻食品类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检验项目为过氧化值(以脂肪计)、铅(以Pb计)等项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23.糖果制品3</w:t>
      </w:r>
      <w:r>
        <w:rPr>
          <w:rFonts w:hint="eastAsia" w:ascii="仿宋_GB2312" w:hAnsi="仿宋_GB2312" w:eastAsia="仿宋_GB2312" w:cs="仿宋_GB2312"/>
          <w:sz w:val="34"/>
          <w:szCs w:val="34"/>
        </w:rPr>
        <w:t>批次，检验项目为铅(以Pb计)、沙门氏菌等项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24、调味品类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甜蜜素(以环己基氨基磺酸计)、氨基酸态氮(以氮计)、全氮(以氮计)、铵盐(以占氨基酸态氮的百分比计)、对羟基苯甲酸酯类及其钠盐(对羟基苯甲酸甲酯钠、对羟基苯甲酸乙酯及其钠盐)(以对羟基苯甲酸计)、菌落总数、大肠菌群、苯甲酸及其钠盐(以苯甲酸计)、山梨酸及其钾盐(以山梨酸计)、脱氢乙酸及其钠盐(以脱氢乙酸计)、糖精钠(以糖精计)、三氯蔗糖、钡(以Ba计)、铅(以Pb计)、总砷(以As计)、镉(以Cd计)、总汞(以Hg计)、亚铁氰化钾/亚铁氰化钠(以亚铁氰根计)、氯化钠(以干基计)、碘(以I计)、总酸(以乙酸计)、罂粟碱、吗啡、可待因、那可丁、不挥发酸(以乳酸计)、黄曲霉毒素B₁、二氧化钛、金黄色葡萄球菌、沙门氏菌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25.饮料类</w:t>
      </w:r>
      <w:r>
        <w:rPr>
          <w:rFonts w:hint="eastAsia" w:ascii="仿宋_GB2312" w:hAnsi="仿宋_GB2312" w:eastAsia="仿宋_GB2312" w:cs="仿宋_GB2312"/>
          <w:sz w:val="34"/>
          <w:szCs w:val="34"/>
        </w:rPr>
        <w:t>检验项目为二氧化碳气容量、甜蜜素(以环己基氨基磺酸计)、菌落总数、霉菌、酵母、苯甲酸及其钠盐(以苯甲酸计)、山梨酸及其钾盐(以山梨酸计)、脱氢乙酸及其钠盐(以脱氢乙酸计)、糖精钠(以糖精计)、苋菜红、胭脂红、柠檬黄、日落黄、耗氧量(以O₂计)、铅(以Pb计)、总砷(以As计)、镉(以Cd计)、亚硝酸盐(以NO₂⁻计)、余氯(游离氯)、溴酸盐、三氯甲烷、大肠菌群、铜绿假单胞菌等项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4"/>
          <w:szCs w:val="34"/>
        </w:rPr>
        <w:t>指标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8184A"/>
    <w:multiLevelType w:val="multilevel"/>
    <w:tmpl w:val="13C8184A"/>
    <w:lvl w:ilvl="0" w:tentative="0">
      <w:start w:val="1"/>
      <w:numFmt w:val="decimal"/>
      <w:lvlText w:val="%1."/>
      <w:lvlJc w:val="left"/>
      <w:pPr>
        <w:tabs>
          <w:tab w:val="left" w:pos="1190"/>
        </w:tabs>
        <w:ind w:left="1190" w:hanging="51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A387E7B"/>
    <w:multiLevelType w:val="singleLevel"/>
    <w:tmpl w:val="5A387E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17C66CF0"/>
    <w:rsid w:val="0002688A"/>
    <w:rsid w:val="00095C97"/>
    <w:rsid w:val="000E48CC"/>
    <w:rsid w:val="00166107"/>
    <w:rsid w:val="0018712B"/>
    <w:rsid w:val="001C08A0"/>
    <w:rsid w:val="001C1BD0"/>
    <w:rsid w:val="00205B11"/>
    <w:rsid w:val="00277065"/>
    <w:rsid w:val="002A794D"/>
    <w:rsid w:val="002F258E"/>
    <w:rsid w:val="0031578D"/>
    <w:rsid w:val="00351C32"/>
    <w:rsid w:val="003562A9"/>
    <w:rsid w:val="004B0632"/>
    <w:rsid w:val="00536AFD"/>
    <w:rsid w:val="005A643D"/>
    <w:rsid w:val="00600595"/>
    <w:rsid w:val="00643976"/>
    <w:rsid w:val="00667363"/>
    <w:rsid w:val="00673351"/>
    <w:rsid w:val="006A6CFE"/>
    <w:rsid w:val="006F1509"/>
    <w:rsid w:val="00726EDF"/>
    <w:rsid w:val="00755AC0"/>
    <w:rsid w:val="007C7378"/>
    <w:rsid w:val="0081087D"/>
    <w:rsid w:val="00811C8F"/>
    <w:rsid w:val="008601E9"/>
    <w:rsid w:val="008C53AA"/>
    <w:rsid w:val="008C61B3"/>
    <w:rsid w:val="00985B24"/>
    <w:rsid w:val="009935AF"/>
    <w:rsid w:val="009A1148"/>
    <w:rsid w:val="009A4E48"/>
    <w:rsid w:val="009D006D"/>
    <w:rsid w:val="009E2F90"/>
    <w:rsid w:val="00A00710"/>
    <w:rsid w:val="00A16E3A"/>
    <w:rsid w:val="00A5522F"/>
    <w:rsid w:val="00AE078C"/>
    <w:rsid w:val="00B26138"/>
    <w:rsid w:val="00B32044"/>
    <w:rsid w:val="00B36DCD"/>
    <w:rsid w:val="00BF0A55"/>
    <w:rsid w:val="00C25CAB"/>
    <w:rsid w:val="00C93BC0"/>
    <w:rsid w:val="00D956D0"/>
    <w:rsid w:val="00E150C1"/>
    <w:rsid w:val="00E73508"/>
    <w:rsid w:val="00E77CB6"/>
    <w:rsid w:val="00EA0FCB"/>
    <w:rsid w:val="02C277AB"/>
    <w:rsid w:val="04032576"/>
    <w:rsid w:val="059F100D"/>
    <w:rsid w:val="08F70E3F"/>
    <w:rsid w:val="0D6D5002"/>
    <w:rsid w:val="0D796E2B"/>
    <w:rsid w:val="0F0A613D"/>
    <w:rsid w:val="0FBB072C"/>
    <w:rsid w:val="124D758E"/>
    <w:rsid w:val="12765BA8"/>
    <w:rsid w:val="147965EC"/>
    <w:rsid w:val="14921887"/>
    <w:rsid w:val="15D664EB"/>
    <w:rsid w:val="163C427E"/>
    <w:rsid w:val="17C66CF0"/>
    <w:rsid w:val="17EB615C"/>
    <w:rsid w:val="18385C57"/>
    <w:rsid w:val="18704F04"/>
    <w:rsid w:val="189030BE"/>
    <w:rsid w:val="1AB31B4D"/>
    <w:rsid w:val="1B821919"/>
    <w:rsid w:val="2082396F"/>
    <w:rsid w:val="26A95859"/>
    <w:rsid w:val="27AC4084"/>
    <w:rsid w:val="2E5845D9"/>
    <w:rsid w:val="30B61D20"/>
    <w:rsid w:val="31A35072"/>
    <w:rsid w:val="325A34DC"/>
    <w:rsid w:val="3287138D"/>
    <w:rsid w:val="32E4447E"/>
    <w:rsid w:val="33AF54C4"/>
    <w:rsid w:val="33ED2C2D"/>
    <w:rsid w:val="36DF39B0"/>
    <w:rsid w:val="36EA013B"/>
    <w:rsid w:val="38DE092D"/>
    <w:rsid w:val="392722BD"/>
    <w:rsid w:val="3CFE564B"/>
    <w:rsid w:val="3D401BC0"/>
    <w:rsid w:val="3F5D1D20"/>
    <w:rsid w:val="43E93B0E"/>
    <w:rsid w:val="46B84FDB"/>
    <w:rsid w:val="4702752D"/>
    <w:rsid w:val="4AAC5CCD"/>
    <w:rsid w:val="4B863C4B"/>
    <w:rsid w:val="4BC91C46"/>
    <w:rsid w:val="5289635A"/>
    <w:rsid w:val="530F0C23"/>
    <w:rsid w:val="53461288"/>
    <w:rsid w:val="56DA12D1"/>
    <w:rsid w:val="594D01D9"/>
    <w:rsid w:val="5A282B3D"/>
    <w:rsid w:val="5AFB1734"/>
    <w:rsid w:val="5F3961B5"/>
    <w:rsid w:val="5FC5244D"/>
    <w:rsid w:val="61580BA9"/>
    <w:rsid w:val="615A652A"/>
    <w:rsid w:val="6297633B"/>
    <w:rsid w:val="63894C36"/>
    <w:rsid w:val="68B4267B"/>
    <w:rsid w:val="6C2C2BA3"/>
    <w:rsid w:val="6CC05AFF"/>
    <w:rsid w:val="6E8C43DE"/>
    <w:rsid w:val="6E9D20CA"/>
    <w:rsid w:val="6EE10DE0"/>
    <w:rsid w:val="703F2416"/>
    <w:rsid w:val="70D16BDC"/>
    <w:rsid w:val="70E757D6"/>
    <w:rsid w:val="741121E2"/>
    <w:rsid w:val="79547FDC"/>
    <w:rsid w:val="7B40032B"/>
    <w:rsid w:val="7BB05612"/>
    <w:rsid w:val="7C760681"/>
    <w:rsid w:val="7D211080"/>
    <w:rsid w:val="7D3B093C"/>
    <w:rsid w:val="7E8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locked/>
    <w:uiPriority w:val="0"/>
    <w:rPr>
      <w:b/>
    </w:rPr>
  </w:style>
  <w:style w:type="character" w:styleId="5">
    <w:name w:val="FollowedHyperlink"/>
    <w:basedOn w:val="3"/>
    <w:semiHidden/>
    <w:unhideWhenUsed/>
    <w:qFormat/>
    <w:uiPriority w:val="99"/>
    <w:rPr>
      <w:color w:val="337AB7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</w:rPr>
  </w:style>
  <w:style w:type="character" w:styleId="7">
    <w:name w:val="Hyperlink"/>
    <w:basedOn w:val="3"/>
    <w:semiHidden/>
    <w:unhideWhenUsed/>
    <w:qFormat/>
    <w:uiPriority w:val="99"/>
    <w:rPr>
      <w:color w:val="337AB7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2</Pages>
  <Words>62</Words>
  <Characters>358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2017-12-19T02:11:00Z</dcterms:created>
  <dc:creator>李婷婷</dc:creator>
  <cp:lastModifiedBy>Administrator</cp:lastModifiedBy>
  <cp:lastPrinted>2017-12-20T02:22:00Z</cp:lastPrinted>
  <dcterms:modified xsi:type="dcterms:W3CDTF">2023-11-10T02:50:09Z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15DF904DC0C54C288BC84632FA39DCBE_13</vt:lpwstr>
  </property>
</Properties>
</file>