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50" w:lineRule="exact"/>
        <w:ind w:right="0" w:rightChars="0"/>
        <w:jc w:val="center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临猗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县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文化和旅游局执法主体公示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rPr>
          <w:rFonts w:hint="eastAsia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 w:val="0"/>
          <w:sz w:val="32"/>
          <w:szCs w:val="32"/>
          <w:lang w:val="en-US" w:eastAsia="zh-CN"/>
        </w:rPr>
        <w:t>执法主体：</w:t>
      </w:r>
      <w:r>
        <w:rPr>
          <w:rFonts w:hint="eastAsia" w:eastAsia="仿宋_GB2312" w:cs="Times New Roman"/>
          <w:b w:val="0"/>
          <w:bCs/>
          <w:sz w:val="32"/>
          <w:szCs w:val="32"/>
          <w:lang w:val="en-US" w:eastAsia="zh-CN"/>
        </w:rPr>
        <w:t>临猗县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文化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机构名称：</w:t>
      </w:r>
      <w:r>
        <w:rPr>
          <w:rFonts w:hint="eastAsia" w:eastAsia="仿宋_GB2312" w:cs="Times New Roman"/>
          <w:b w:val="0"/>
          <w:bCs/>
          <w:sz w:val="32"/>
          <w:szCs w:val="32"/>
          <w:lang w:val="en-US" w:eastAsia="zh-CN"/>
        </w:rPr>
        <w:t>临猗县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文化市场综合行政执法队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管辖范围：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临猗县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行政区域内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文化、文物、出版、广播电视、电影、旅游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市场经营主体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执法区域：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临猗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县行政区域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主要职责：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（一）贯彻执行党中央、国务院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省委、省政府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，市委、市政府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关于文化、文物、出版、广播电视、电影、旅游等方面的方针政策、法律法规和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委、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政府的决策部署。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（二）依法查处娱乐场所、互联网上网服务营业场所的违法行为；查处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营业性演出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、艺术品经营及进出口等活动中的违法行为；查处文化艺术经营、展览展播活动中的违法行为；查处社会艺术水平考级中的违法违规行为。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查处制作、播出、传输等机构(企业、个人、社会团体)从事广播、电影、电视活动中的违法行为；查处电影放映单位的违法行为，查处安装和设置卫星电视广播地面接收设施、传送境外卫星电视节目中的违法行为；查处放映未取得《电影片公映许可证》的电影片和走私放映盗版影片等违法活动；配合查处生产、销售、使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伪基站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设备的违法行为。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四）查处图书、音像制品、电子出版物等方面的违法出版活动和印刷、复制、出版物发行中的违法经营活动；查处非法出版单位和个人的违法出版活动；查处著作权侵权行为；查处新闻采编人员在新闻采访活动中的违规行为；查处网络文化、网络视听、网络出版等方面的违法经营活动；承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扫黄打非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等有关工作任务。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（五）查处文物保护、A级景区、旅行社及旅游市场中的违法行为。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65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（六）依法履行法律法规及地方政府赋予的其他职责；完成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文化和旅游局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（县文物局）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交办的其他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事项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65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文化市场综合行政执法队设下列内设机构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，均为股级规格。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65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（一）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办公室  </w:t>
      </w:r>
      <w:r>
        <w:rPr>
          <w:rFonts w:hint="eastAsia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5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负责单位日常工作运转。负责党群和人员管理、离退休人员工作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拟定有关规章制度并组织实施及监督落实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研究拟定单位年度工作计划、总结、综合性文稿的起草工作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负责信息、安全、保密、信访、政务公开、应急管理、宣传、文电、会务、档案、固定资产管理、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罚没（暂扣）物品管理、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后勤保障等工作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负责有关法律法规、政策及行政执法工作情况、重大执法活动的宣传工作；负责执法信息的编写和向上级部门及新闻媒体报送信息及稿件；协调上级有关部门交办、转办的其他事项。组织拟订年度经费预决算的编制和预算执行监管；负责事业经费和专项资金的管理；负责单位财务；负责固定资产政府采购、政府购买服务；负责统一配置执法装备的计划采购、分配及管理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65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 xml:space="preserve">法制监督室  </w:t>
      </w:r>
      <w:r>
        <w:rPr>
          <w:rFonts w:hint="eastAsia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numPr>
          <w:numId w:val="0"/>
        </w:numPr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65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负责执法程序、执法标准以及执法文书的规范使用和管理；负责行政处罚案件的审查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、投诉；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负责相关法律法规培训工作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负责涉案物品提请鉴定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工作；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负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责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有关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行政执法案卷评查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、执法案件公开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和执法信息公示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等工作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负责受理、转办、督办、答复对文化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、文物、新闻出版、广播电视电影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和旅游市场方面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的举报、投诉等工作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承担相关互联网络监控工作。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65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三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一分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 xml:space="preserve">队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5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负责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依法查处制作、播出、传输等机构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企业、个人和社会组织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从事广播、电影、电视活动中的违法行为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查处电影放映单位的违法行为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查处安装和设置卫星电视广播地面接收设施、传送境外卫星电视节目中的违法行为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查处网络视听方面的违法经营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行为，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查处放映未取得《电影片公映许可证》的电影片和走私放映盗版影片等违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法活动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配合查处生产、销售、使用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伪基站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设备的违法行为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负责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依法查处图书、报纸、期刊、音像制品、电子出版物等方面的违法违规出版活动和印刷、复制、出版物发行、包装及装潢印刷中的违法经营活动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查处非法出版单位和个人的违法出版活动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查处著作权侵权行为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查处新闻采编人员在新闻采访活动中的违规行为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查处网络文化、网络出版中的违法、违规行为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，承担“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扫黄打非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”等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有关工作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任务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。负责大案、要案的查处及跨区域广播电视、电影执法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、出版执法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检查和行政处罚工作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等事项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65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四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二分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 xml:space="preserve">队 </w:t>
      </w:r>
      <w:r>
        <w:rPr>
          <w:rFonts w:hint="eastAsia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65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负责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依法查处娱乐场所、互联网上网服务营业场所的违法违规行为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查处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0"/>
          <w:szCs w:val="30"/>
          <w:lang w:val="en-US" w:eastAsia="zh-CN" w:bidi="ar-SA"/>
        </w:rPr>
        <w:t>营业性</w:t>
      </w:r>
      <w:r>
        <w:rPr>
          <w:rFonts w:hint="default" w:ascii="Times New Roman" w:hAnsi="Times New Roman" w:eastAsia="仿宋_GB2312" w:cs="Times New Roman"/>
          <w:color w:val="000000"/>
          <w:kern w:val="2"/>
          <w:sz w:val="30"/>
          <w:szCs w:val="30"/>
          <w:lang w:val="en-US" w:eastAsia="zh-CN" w:bidi="ar-SA"/>
        </w:rPr>
        <w:t>演出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、艺术品经营及进出口活动中的违法违规行为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查处社会艺术水平考级活动中的违法违规行为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查处文化艺术经营、展览展播活动中的违法违规行为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负责大案、要案的查处及跨区域文化市场执法检查和行政处罚工作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等事项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65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五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三分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 xml:space="preserve">队 </w:t>
      </w:r>
      <w:r>
        <w:rPr>
          <w:rFonts w:hint="eastAsia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5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负责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依法查处A级景区、旅行社违法经营、非法经营旅游业务行为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查处导游等旅游从业人员为旅游者提供服务中的违法行为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查处非法从事导游业务行为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协助有关部门对旅游市场进行综合整治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负责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依法查处文物经营活动中的违法、违规行为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在文物保护单位的建设控制范围内进行建设工程，未经文物行政部门同意、报城乡建设规划部门批准，对文物保护单位的历史风貌造成破坏的行为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负责大案、要案的查处及跨区域旅游市场执法检查和行政处罚工作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等事项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186635"/>
    <w:multiLevelType w:val="singleLevel"/>
    <w:tmpl w:val="CF18663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hZDdlZmFmMTljNWViMGVlYmRkNWU2ODIyMTM0OGMifQ=="/>
  </w:docVars>
  <w:rsids>
    <w:rsidRoot w:val="51A42939"/>
    <w:rsid w:val="367B0D63"/>
    <w:rsid w:val="3EC23263"/>
    <w:rsid w:val="5019366F"/>
    <w:rsid w:val="51A42939"/>
    <w:rsid w:val="608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Times New Roman" w:hAnsi="Times New Roman" w:eastAsia="宋体" w:cs="Times New Roma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1869</Words>
  <Characters>1869</Characters>
  <Lines>0</Lines>
  <Paragraphs>0</Paragraphs>
  <TotalTime>1</TotalTime>
  <ScaleCrop>false</ScaleCrop>
  <LinksUpToDate>false</LinksUpToDate>
  <CharactersWithSpaces>1888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2023-02-09T05:53:00Z</dcterms:created>
  <dc:creator>神经蛙</dc:creator>
  <cp:lastModifiedBy>神经蛙</cp:lastModifiedBy>
  <dcterms:modified xsi:type="dcterms:W3CDTF">2023-02-09T06:08:37Z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7E353CA4D9B5471FA4F9831E66E16C6C</vt:lpwstr>
  </property>
</Properties>
</file>