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仿宋" w:hAnsi="仿宋" w:eastAsia="仿宋" w:cs="仿宋"/>
          <w:b/>
          <w:sz w:val="32"/>
          <w:szCs w:val="32"/>
          <w:lang w:eastAsia="zh-CN" w:bidi="ar"/>
        </w:rPr>
      </w:pPr>
      <w:r>
        <w:rPr>
          <w:rFonts w:hint="eastAsia" w:ascii="仿宋" w:hAnsi="仿宋" w:eastAsia="仿宋" w:cs="仿宋"/>
          <w:b/>
          <w:sz w:val="32"/>
          <w:szCs w:val="32"/>
          <w:lang w:val="en-US" w:eastAsia="zh-CN" w:bidi="ar"/>
        </w:rPr>
        <w:t xml:space="preserve">  </w:t>
      </w:r>
    </w:p>
    <w:p>
      <w:pPr>
        <w:spacing w:line="560" w:lineRule="exact"/>
        <w:jc w:val="center"/>
        <w:rPr>
          <w:rFonts w:ascii="仿宋" w:hAnsi="仿宋" w:eastAsia="仿宋" w:cs="仿宋"/>
          <w:b/>
          <w:sz w:val="32"/>
          <w:szCs w:val="32"/>
          <w:lang w:bidi="ar"/>
        </w:rPr>
      </w:pPr>
    </w:p>
    <w:p>
      <w:pPr>
        <w:spacing w:line="700" w:lineRule="exact"/>
        <w:jc w:val="center"/>
        <w:rPr>
          <w:rFonts w:hint="eastAsia" w:ascii="仿宋" w:hAnsi="仿宋" w:eastAsia="仿宋" w:cs="仿宋"/>
          <w:b/>
          <w:sz w:val="40"/>
          <w:szCs w:val="38"/>
          <w:lang w:eastAsia="zh-CN" w:bidi="ar"/>
        </w:rPr>
      </w:pPr>
      <w:r>
        <w:rPr>
          <w:rFonts w:hint="eastAsia" w:ascii="仿宋" w:hAnsi="仿宋" w:eastAsia="仿宋" w:cs="仿宋"/>
          <w:b/>
          <w:sz w:val="40"/>
          <w:szCs w:val="38"/>
          <w:lang w:eastAsia="zh-CN" w:bidi="ar"/>
        </w:rPr>
        <w:t>临猗县</w:t>
      </w:r>
      <w:r>
        <w:rPr>
          <w:rFonts w:hint="eastAsia" w:ascii="仿宋" w:hAnsi="仿宋" w:eastAsia="仿宋" w:cs="仿宋"/>
          <w:b/>
          <w:sz w:val="40"/>
          <w:szCs w:val="38"/>
          <w:lang w:val="en-US" w:eastAsia="zh-CN" w:bidi="ar"/>
        </w:rPr>
        <w:t>2020年国家</w:t>
      </w:r>
      <w:r>
        <w:rPr>
          <w:rFonts w:hint="eastAsia" w:ascii="仿宋" w:hAnsi="仿宋" w:eastAsia="仿宋" w:cs="仿宋"/>
          <w:b/>
          <w:sz w:val="40"/>
          <w:szCs w:val="38"/>
          <w:lang w:eastAsia="zh-CN" w:bidi="ar"/>
        </w:rPr>
        <w:t>基本公共卫生服务项目</w:t>
      </w:r>
    </w:p>
    <w:p>
      <w:pPr>
        <w:spacing w:line="700" w:lineRule="exact"/>
        <w:jc w:val="center"/>
        <w:rPr>
          <w:rFonts w:hint="eastAsia" w:ascii="仿宋" w:hAnsi="仿宋" w:eastAsia="仿宋" w:cs="仿宋"/>
          <w:b/>
          <w:sz w:val="40"/>
          <w:szCs w:val="38"/>
          <w:lang w:val="en-US" w:eastAsia="zh-CN" w:bidi="ar"/>
        </w:rPr>
      </w:pPr>
      <w:r>
        <w:rPr>
          <w:rFonts w:hint="eastAsia" w:ascii="仿宋" w:hAnsi="仿宋" w:eastAsia="仿宋" w:cs="仿宋"/>
          <w:b/>
          <w:sz w:val="40"/>
          <w:szCs w:val="38"/>
          <w:lang w:bidi="ar"/>
        </w:rPr>
        <w:t>绩效评价</w:t>
      </w:r>
      <w:r>
        <w:rPr>
          <w:rFonts w:hint="eastAsia" w:ascii="仿宋" w:hAnsi="仿宋" w:eastAsia="仿宋" w:cs="仿宋"/>
          <w:b/>
          <w:sz w:val="40"/>
          <w:szCs w:val="38"/>
          <w:lang w:eastAsia="zh-CN" w:bidi="ar"/>
        </w:rPr>
        <w:t>报告</w:t>
      </w:r>
    </w:p>
    <w:p>
      <w:pPr>
        <w:spacing w:line="560" w:lineRule="exact"/>
        <w:jc w:val="center"/>
        <w:rPr>
          <w:rFonts w:ascii="仿宋" w:hAnsi="仿宋" w:eastAsia="仿宋" w:cs="仿宋"/>
          <w:b/>
          <w:sz w:val="36"/>
          <w:szCs w:val="36"/>
          <w:lang w:bidi="ar"/>
        </w:rPr>
      </w:pPr>
    </w:p>
    <w:p>
      <w:pPr>
        <w:spacing w:line="560" w:lineRule="exact"/>
        <w:jc w:val="center"/>
        <w:rPr>
          <w:rFonts w:ascii="仿宋" w:hAnsi="仿宋" w:eastAsia="仿宋" w:cs="仿宋"/>
          <w:b/>
          <w:sz w:val="36"/>
          <w:szCs w:val="36"/>
          <w:lang w:bidi="ar"/>
        </w:rPr>
      </w:pPr>
    </w:p>
    <w:p>
      <w:pPr>
        <w:spacing w:line="560" w:lineRule="exact"/>
        <w:jc w:val="center"/>
        <w:rPr>
          <w:rFonts w:ascii="仿宋" w:hAnsi="仿宋" w:eastAsia="仿宋" w:cs="仿宋"/>
          <w:b/>
          <w:sz w:val="36"/>
          <w:szCs w:val="36"/>
          <w:lang w:bidi="ar"/>
        </w:rPr>
      </w:pPr>
    </w:p>
    <w:p>
      <w:pPr>
        <w:spacing w:line="560" w:lineRule="exact"/>
        <w:jc w:val="center"/>
        <w:rPr>
          <w:rFonts w:ascii="仿宋" w:hAnsi="仿宋" w:eastAsia="仿宋" w:cs="仿宋"/>
          <w:b/>
          <w:sz w:val="36"/>
          <w:szCs w:val="36"/>
          <w:lang w:bidi="ar"/>
        </w:rPr>
      </w:pPr>
    </w:p>
    <w:p>
      <w:pPr>
        <w:spacing w:line="560" w:lineRule="exact"/>
        <w:jc w:val="center"/>
        <w:rPr>
          <w:rFonts w:ascii="仿宋" w:hAnsi="仿宋" w:eastAsia="仿宋" w:cs="仿宋"/>
          <w:b/>
          <w:sz w:val="36"/>
          <w:szCs w:val="36"/>
          <w:lang w:bidi="ar"/>
        </w:rPr>
      </w:pPr>
    </w:p>
    <w:p>
      <w:pPr>
        <w:spacing w:line="560" w:lineRule="exact"/>
        <w:jc w:val="center"/>
        <w:rPr>
          <w:rFonts w:ascii="仿宋" w:hAnsi="仿宋" w:eastAsia="仿宋" w:cs="仿宋"/>
          <w:b/>
          <w:sz w:val="36"/>
          <w:szCs w:val="36"/>
          <w:lang w:bidi="ar"/>
        </w:rPr>
      </w:pPr>
    </w:p>
    <w:p>
      <w:pPr>
        <w:ind w:right="225" w:rightChars="107" w:firstLine="283" w:firstLineChars="88"/>
        <w:jc w:val="left"/>
        <w:rPr>
          <w:rFonts w:hint="eastAsia" w:ascii="仿宋" w:hAnsi="仿宋" w:eastAsia="仿宋" w:cs="仿宋"/>
          <w:b/>
          <w:sz w:val="32"/>
          <w:szCs w:val="28"/>
          <w:lang w:eastAsia="zh-CN"/>
        </w:rPr>
      </w:pPr>
      <w:r>
        <w:rPr>
          <w:rFonts w:hint="eastAsia" w:ascii="仿宋" w:hAnsi="仿宋" w:eastAsia="仿宋" w:cs="仿宋"/>
          <w:b/>
          <w:sz w:val="32"/>
          <w:szCs w:val="28"/>
        </w:rPr>
        <w:t>项目名称：</w:t>
      </w:r>
      <w:r>
        <w:rPr>
          <w:rFonts w:hint="eastAsia" w:ascii="仿宋" w:hAnsi="仿宋" w:eastAsia="仿宋" w:cs="仿宋"/>
          <w:b/>
          <w:sz w:val="32"/>
          <w:szCs w:val="28"/>
          <w:lang w:eastAsia="zh-CN"/>
        </w:rPr>
        <w:t>临猗县</w:t>
      </w:r>
      <w:r>
        <w:rPr>
          <w:rFonts w:hint="eastAsia" w:ascii="仿宋" w:hAnsi="仿宋" w:eastAsia="仿宋" w:cs="仿宋"/>
          <w:b/>
          <w:sz w:val="32"/>
          <w:szCs w:val="28"/>
          <w:lang w:val="en-US" w:eastAsia="zh-CN"/>
        </w:rPr>
        <w:t>2020年国家</w:t>
      </w:r>
      <w:r>
        <w:rPr>
          <w:rFonts w:hint="eastAsia" w:ascii="仿宋" w:hAnsi="仿宋" w:eastAsia="仿宋" w:cs="仿宋"/>
          <w:b/>
          <w:sz w:val="32"/>
          <w:szCs w:val="28"/>
          <w:lang w:eastAsia="zh-CN"/>
        </w:rPr>
        <w:t>基本公共卫生服务项目</w:t>
      </w:r>
    </w:p>
    <w:p>
      <w:pPr>
        <w:ind w:right="225" w:rightChars="107" w:firstLine="283" w:firstLineChars="88"/>
        <w:jc w:val="left"/>
        <w:rPr>
          <w:rFonts w:hint="eastAsia" w:ascii="仿宋" w:hAnsi="仿宋" w:eastAsia="仿宋" w:cs="仿宋"/>
          <w:b/>
          <w:sz w:val="32"/>
          <w:szCs w:val="28"/>
          <w:highlight w:val="none"/>
          <w:lang w:eastAsia="zh-CN"/>
        </w:rPr>
      </w:pPr>
      <w:r>
        <w:rPr>
          <w:rFonts w:hint="eastAsia" w:ascii="仿宋" w:hAnsi="仿宋" w:eastAsia="仿宋" w:cs="仿宋"/>
          <w:b/>
          <w:sz w:val="32"/>
          <w:szCs w:val="28"/>
        </w:rPr>
        <w:t>项目单位</w:t>
      </w:r>
      <w:r>
        <w:rPr>
          <w:rFonts w:hint="eastAsia" w:ascii="仿宋" w:hAnsi="仿宋" w:eastAsia="仿宋" w:cs="仿宋"/>
          <w:b/>
          <w:sz w:val="32"/>
          <w:szCs w:val="28"/>
          <w:highlight w:val="none"/>
        </w:rPr>
        <w:t>：</w:t>
      </w:r>
      <w:r>
        <w:rPr>
          <w:rFonts w:hint="eastAsia" w:ascii="仿宋" w:hAnsi="仿宋" w:eastAsia="仿宋" w:cs="仿宋"/>
          <w:b/>
          <w:sz w:val="32"/>
          <w:szCs w:val="28"/>
          <w:highlight w:val="none"/>
          <w:lang w:eastAsia="zh-CN"/>
        </w:rPr>
        <w:t>临猗县卫生健康和体育局</w:t>
      </w:r>
    </w:p>
    <w:p>
      <w:pPr>
        <w:ind w:right="225" w:rightChars="107" w:firstLine="283" w:firstLineChars="88"/>
        <w:jc w:val="left"/>
        <w:rPr>
          <w:rFonts w:hint="eastAsia" w:ascii="仿宋" w:hAnsi="仿宋" w:eastAsia="仿宋" w:cs="仿宋"/>
          <w:b/>
          <w:sz w:val="32"/>
          <w:szCs w:val="28"/>
          <w:lang w:eastAsia="zh-CN"/>
        </w:rPr>
      </w:pPr>
      <w:r>
        <w:rPr>
          <w:rFonts w:hint="eastAsia" w:ascii="仿宋" w:hAnsi="仿宋" w:eastAsia="仿宋" w:cs="仿宋"/>
          <w:b/>
          <w:sz w:val="32"/>
          <w:szCs w:val="28"/>
        </w:rPr>
        <w:t>委托单位：</w:t>
      </w:r>
      <w:r>
        <w:rPr>
          <w:rFonts w:hint="eastAsia" w:ascii="仿宋" w:hAnsi="仿宋" w:eastAsia="仿宋" w:cs="仿宋"/>
          <w:b/>
          <w:sz w:val="32"/>
          <w:szCs w:val="28"/>
          <w:lang w:eastAsia="zh-CN"/>
        </w:rPr>
        <w:t>临猗县财政局</w:t>
      </w:r>
    </w:p>
    <w:p>
      <w:pPr>
        <w:ind w:right="225" w:rightChars="107" w:firstLine="283" w:firstLineChars="88"/>
        <w:jc w:val="left"/>
        <w:rPr>
          <w:rFonts w:ascii="仿宋" w:hAnsi="仿宋" w:eastAsia="仿宋" w:cs="仿宋"/>
          <w:b/>
          <w:sz w:val="32"/>
          <w:szCs w:val="28"/>
        </w:rPr>
      </w:pPr>
      <w:r>
        <w:rPr>
          <w:rFonts w:hint="eastAsia" w:ascii="仿宋" w:hAnsi="仿宋" w:eastAsia="仿宋" w:cs="仿宋"/>
          <w:b/>
          <w:sz w:val="32"/>
          <w:szCs w:val="28"/>
        </w:rPr>
        <w:t>评价机构：山西广和会计师事务所有限公司</w:t>
      </w:r>
    </w:p>
    <w:p>
      <w:pPr>
        <w:jc w:val="center"/>
        <w:rPr>
          <w:rFonts w:ascii="仿宋" w:hAnsi="仿宋" w:eastAsia="仿宋" w:cs="仿宋"/>
          <w:b/>
          <w:sz w:val="32"/>
          <w:szCs w:val="28"/>
        </w:rPr>
      </w:pPr>
    </w:p>
    <w:p>
      <w:pPr>
        <w:pStyle w:val="2"/>
        <w:jc w:val="center"/>
        <w:rPr>
          <w:rFonts w:ascii="仿宋" w:hAnsi="仿宋" w:eastAsia="仿宋"/>
          <w:sz w:val="22"/>
        </w:rPr>
      </w:pPr>
    </w:p>
    <w:p>
      <w:pPr>
        <w:pStyle w:val="2"/>
        <w:jc w:val="center"/>
        <w:rPr>
          <w:rFonts w:ascii="仿宋" w:hAnsi="仿宋" w:eastAsia="仿宋"/>
          <w:sz w:val="22"/>
        </w:rPr>
      </w:pPr>
    </w:p>
    <w:p>
      <w:pPr>
        <w:pStyle w:val="2"/>
        <w:jc w:val="center"/>
        <w:rPr>
          <w:rFonts w:ascii="仿宋" w:hAnsi="仿宋" w:eastAsia="仿宋"/>
          <w:sz w:val="22"/>
        </w:rPr>
      </w:pPr>
    </w:p>
    <w:p>
      <w:pPr>
        <w:pStyle w:val="2"/>
        <w:jc w:val="center"/>
        <w:rPr>
          <w:rFonts w:ascii="仿宋" w:hAnsi="仿宋" w:eastAsia="仿宋"/>
          <w:sz w:val="22"/>
        </w:rPr>
      </w:pPr>
    </w:p>
    <w:p>
      <w:pPr>
        <w:jc w:val="center"/>
        <w:rPr>
          <w:rFonts w:ascii="仿宋" w:hAnsi="仿宋" w:eastAsia="仿宋" w:cs="仿宋"/>
          <w:b/>
          <w:sz w:val="32"/>
          <w:szCs w:val="28"/>
        </w:rPr>
      </w:pPr>
      <w:r>
        <w:rPr>
          <w:rFonts w:hint="eastAsia" w:ascii="仿宋" w:hAnsi="仿宋" w:eastAsia="仿宋" w:cs="仿宋"/>
          <w:b/>
          <w:sz w:val="32"/>
          <w:szCs w:val="28"/>
        </w:rPr>
        <w:t>20</w:t>
      </w:r>
      <w:r>
        <w:rPr>
          <w:rFonts w:hint="eastAsia" w:ascii="仿宋" w:hAnsi="仿宋" w:eastAsia="仿宋" w:cs="仿宋"/>
          <w:b/>
          <w:sz w:val="32"/>
          <w:szCs w:val="28"/>
          <w:lang w:val="en-US" w:eastAsia="zh-CN"/>
        </w:rPr>
        <w:t>21</w:t>
      </w:r>
      <w:r>
        <w:rPr>
          <w:rFonts w:hint="eastAsia" w:ascii="仿宋" w:hAnsi="仿宋" w:eastAsia="仿宋" w:cs="仿宋"/>
          <w:b/>
          <w:sz w:val="32"/>
          <w:szCs w:val="28"/>
        </w:rPr>
        <w:t>年</w:t>
      </w:r>
      <w:r>
        <w:rPr>
          <w:rFonts w:hint="eastAsia" w:ascii="仿宋" w:hAnsi="仿宋" w:eastAsia="仿宋" w:cs="仿宋"/>
          <w:b/>
          <w:sz w:val="32"/>
          <w:szCs w:val="28"/>
          <w:lang w:val="en-US" w:eastAsia="zh-CN"/>
        </w:rPr>
        <w:t>10</w:t>
      </w:r>
      <w:r>
        <w:rPr>
          <w:rFonts w:hint="eastAsia" w:ascii="仿宋" w:hAnsi="仿宋" w:eastAsia="仿宋" w:cs="仿宋"/>
          <w:b/>
          <w:sz w:val="32"/>
          <w:szCs w:val="28"/>
        </w:rPr>
        <w:t>月</w:t>
      </w:r>
    </w:p>
    <w:p>
      <w:pPr>
        <w:spacing w:line="560" w:lineRule="exact"/>
        <w:jc w:val="center"/>
        <w:rPr>
          <w:rFonts w:ascii="仿宋" w:hAnsi="仿宋" w:eastAsia="仿宋" w:cs="仿宋"/>
          <w:b/>
          <w:sz w:val="36"/>
          <w:szCs w:val="36"/>
          <w:lang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560" w:lineRule="exact"/>
        <w:jc w:val="center"/>
        <w:rPr>
          <w:rFonts w:ascii="仿宋" w:hAnsi="仿宋" w:eastAsia="仿宋" w:cs="仿宋"/>
          <w:b/>
          <w:sz w:val="36"/>
          <w:szCs w:val="36"/>
          <w:lang w:bidi="ar"/>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ascii="宋体" w:hAnsi="宋体" w:eastAsia="宋体" w:cstheme="minorBidi"/>
          <w:kern w:val="2"/>
          <w:sz w:val="21"/>
          <w:szCs w:val="24"/>
          <w:lang w:val="en-US" w:eastAsia="zh-CN" w:bidi="ar-SA"/>
        </w:rPr>
        <w:id w:val="147452565"/>
        <w15:color w:val="DBDBDB"/>
        <w:docPartObj>
          <w:docPartGallery w:val="Table of Contents"/>
          <w:docPartUnique/>
        </w:docPartObj>
      </w:sdtPr>
      <w:sdtEndPr>
        <w:rPr>
          <w:rFonts w:hint="eastAsia" w:ascii="仿宋" w:hAnsi="仿宋" w:eastAsia="仿宋" w:cs="仿宋"/>
          <w:b/>
          <w:kern w:val="2"/>
          <w:sz w:val="21"/>
          <w:szCs w:val="32"/>
          <w:lang w:val="en-US" w:eastAsia="zh-CN" w:bidi="ar"/>
        </w:rPr>
      </w:sdtEndPr>
      <w:sdtContent>
        <w:p>
          <w:pPr>
            <w:spacing w:line="560" w:lineRule="exact"/>
            <w:jc w:val="center"/>
            <w:rPr>
              <w:rFonts w:hint="eastAsia" w:ascii="仿宋" w:hAnsi="仿宋" w:eastAsia="仿宋" w:cs="仿宋"/>
              <w:b/>
              <w:kern w:val="2"/>
              <w:sz w:val="21"/>
              <w:szCs w:val="32"/>
              <w:lang w:val="en-US" w:eastAsia="zh-CN" w:bidi="ar"/>
            </w:rPr>
          </w:pPr>
          <w:r>
            <w:rPr>
              <w:rFonts w:hint="eastAsia" w:ascii="仿宋" w:hAnsi="仿宋" w:eastAsia="仿宋" w:cs="仿宋"/>
              <w:b/>
              <w:bCs/>
              <w:sz w:val="28"/>
              <w:szCs w:val="28"/>
            </w:rPr>
            <w:t>目</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录</w:t>
          </w:r>
          <w:r>
            <w:rPr>
              <w:rFonts w:hint="eastAsia" w:ascii="仿宋" w:hAnsi="仿宋" w:eastAsia="仿宋" w:cs="仿宋"/>
              <w:b/>
              <w:sz w:val="32"/>
              <w:szCs w:val="32"/>
              <w:lang w:eastAsia="zh-CN" w:bidi="ar"/>
            </w:rPr>
            <w:fldChar w:fldCharType="begin"/>
          </w:r>
          <w:r>
            <w:rPr>
              <w:rFonts w:hint="eastAsia" w:ascii="仿宋" w:hAnsi="仿宋" w:eastAsia="仿宋" w:cs="仿宋"/>
              <w:b/>
              <w:sz w:val="32"/>
              <w:szCs w:val="32"/>
              <w:lang w:eastAsia="zh-CN" w:bidi="ar"/>
            </w:rPr>
            <w:instrText xml:space="preserve">TOC \o "1-2" \h \u </w:instrText>
          </w:r>
          <w:r>
            <w:rPr>
              <w:rFonts w:hint="eastAsia" w:ascii="仿宋" w:hAnsi="仿宋" w:eastAsia="仿宋" w:cs="仿宋"/>
              <w:b/>
              <w:sz w:val="32"/>
              <w:szCs w:val="32"/>
              <w:lang w:eastAsia="zh-CN" w:bidi="ar"/>
            </w:rPr>
            <w:fldChar w:fldCharType="separate"/>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textAlignment w:val="auto"/>
            <w:rPr>
              <w:rFonts w:hint="eastAsia" w:ascii="仿宋" w:hAnsi="仿宋" w:eastAsia="仿宋" w:cs="仿宋"/>
              <w:sz w:val="24"/>
              <w:szCs w:val="24"/>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_Toc7200 </w:instrText>
          </w:r>
          <w:r>
            <w:rPr>
              <w:rFonts w:hint="eastAsia" w:ascii="仿宋" w:hAnsi="仿宋" w:eastAsia="仿宋" w:cs="仿宋"/>
              <w:sz w:val="24"/>
              <w:szCs w:val="24"/>
              <w:lang w:eastAsia="zh-CN" w:bidi="ar"/>
            </w:rPr>
            <w:fldChar w:fldCharType="separate"/>
          </w:r>
          <w:r>
            <w:rPr>
              <w:rFonts w:hint="eastAsia" w:ascii="仿宋" w:hAnsi="仿宋" w:eastAsia="仿宋" w:cs="仿宋"/>
              <w:sz w:val="24"/>
              <w:szCs w:val="24"/>
              <w:lang w:eastAsia="zh-CN" w:bidi="ar"/>
            </w:rPr>
            <w:t>摘要</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_Toc7200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lang w:eastAsia="zh-CN" w:bidi="ar"/>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textAlignment w:val="auto"/>
            <w:rPr>
              <w:rFonts w:hint="eastAsia" w:ascii="仿宋" w:hAnsi="仿宋" w:cs="仿宋" w:eastAsiaTheme="minorEastAsia"/>
              <w:sz w:val="24"/>
              <w:szCs w:val="24"/>
              <w:lang w:val="en-US" w:eastAsia="zh-CN" w:bidi="ar"/>
            </w:rPr>
          </w:pPr>
          <w:r>
            <w:fldChar w:fldCharType="begin"/>
          </w:r>
          <w:r>
            <w:instrText xml:space="preserve"> HYPERLINK \l "_Toc27736_WPSOffice_Level1" </w:instrText>
          </w:r>
          <w:r>
            <w:fldChar w:fldCharType="separate"/>
          </w:r>
          <w:sdt>
            <w:sdtPr>
              <w:rPr>
                <w:b/>
                <w:bCs/>
                <w:sz w:val="24"/>
              </w:rPr>
              <w:id w:val="1677539711"/>
              <w:placeholder>
                <w:docPart w:val="{1e32c8c0-8eda-4123-ac18-17e499f9529b}"/>
              </w:placeholder>
            </w:sdtPr>
            <w:sdtEndPr>
              <w:rPr>
                <w:rFonts w:hint="eastAsia" w:ascii="仿宋" w:hAnsi="仿宋" w:eastAsia="仿宋" w:cs="仿宋"/>
                <w:b/>
                <w:bCs/>
                <w:sz w:val="24"/>
                <w:szCs w:val="24"/>
                <w:lang w:eastAsia="zh-CN" w:bidi="ar"/>
              </w:rPr>
            </w:sdtEndPr>
            <w:sdtContent>
              <w:r>
                <w:rPr>
                  <w:rFonts w:hint="eastAsia" w:ascii="仿宋" w:hAnsi="仿宋" w:eastAsia="仿宋" w:cs="仿宋"/>
                  <w:sz w:val="24"/>
                  <w:szCs w:val="24"/>
                  <w:lang w:eastAsia="zh-CN" w:bidi="ar"/>
                </w:rPr>
                <w:t>报告</w:t>
              </w:r>
            </w:sdtContent>
          </w:sdt>
          <w:r>
            <w:rPr>
              <w:rFonts w:hint="eastAsia" w:ascii="仿宋" w:hAnsi="仿宋" w:eastAsia="仿宋" w:cs="仿宋"/>
              <w:sz w:val="24"/>
              <w:szCs w:val="24"/>
              <w:lang w:eastAsia="zh-CN" w:bidi="ar"/>
            </w:rPr>
            <w:tab/>
          </w:r>
          <w:r>
            <w:rPr>
              <w:rFonts w:hint="eastAsia" w:ascii="仿宋" w:hAnsi="仿宋" w:eastAsia="仿宋" w:cs="仿宋"/>
              <w:sz w:val="24"/>
              <w:szCs w:val="24"/>
              <w:lang w:val="en-US" w:eastAsia="zh-CN" w:bidi="ar"/>
            </w:rPr>
            <w:t>1</w:t>
          </w:r>
          <w:r>
            <w:rPr>
              <w:b/>
              <w:bCs/>
              <w:sz w:val="24"/>
            </w:rPr>
            <w:fldChar w:fldCharType="end"/>
          </w:r>
          <w:r>
            <w:rPr>
              <w:rFonts w:hint="eastAsia"/>
              <w:b/>
              <w:bCs/>
              <w:sz w:val="24"/>
              <w:lang w:val="en-US" w:eastAsia="zh-CN"/>
            </w:rPr>
            <w:t>1</w:t>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textAlignment w:val="auto"/>
            <w:rPr>
              <w:rFonts w:hint="eastAsia" w:ascii="仿宋" w:hAnsi="仿宋" w:eastAsia="仿宋" w:cs="仿宋"/>
              <w:sz w:val="24"/>
              <w:szCs w:val="24"/>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_Toc1340 </w:instrText>
          </w:r>
          <w:r>
            <w:rPr>
              <w:rFonts w:hint="eastAsia" w:ascii="仿宋" w:hAnsi="仿宋" w:eastAsia="仿宋" w:cs="仿宋"/>
              <w:sz w:val="24"/>
              <w:szCs w:val="24"/>
              <w:lang w:eastAsia="zh-CN" w:bidi="ar"/>
            </w:rPr>
            <w:fldChar w:fldCharType="separate"/>
          </w:r>
          <w:r>
            <w:rPr>
              <w:rFonts w:hint="eastAsia" w:ascii="仿宋" w:hAnsi="仿宋" w:eastAsia="仿宋" w:cs="仿宋"/>
              <w:sz w:val="24"/>
              <w:szCs w:val="24"/>
              <w:lang w:eastAsia="zh-CN" w:bidi="ar"/>
            </w:rPr>
            <w:t>一、 项目基本情况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_Toc1340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sz w:val="24"/>
              <w:szCs w:val="24"/>
              <w:lang w:eastAsia="zh-CN" w:bidi="ar"/>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46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_Toc23011 </w:instrText>
          </w:r>
          <w:r>
            <w:rPr>
              <w:rFonts w:hint="eastAsia" w:ascii="仿宋" w:hAnsi="仿宋" w:eastAsia="仿宋" w:cs="仿宋"/>
              <w:sz w:val="24"/>
              <w:szCs w:val="24"/>
              <w:lang w:eastAsia="zh-CN" w:bidi="ar"/>
            </w:rPr>
            <w:fldChar w:fldCharType="separate"/>
          </w:r>
          <w:r>
            <w:rPr>
              <w:rFonts w:hint="eastAsia" w:ascii="仿宋" w:hAnsi="仿宋" w:eastAsia="仿宋" w:cs="仿宋"/>
              <w:sz w:val="24"/>
              <w:szCs w:val="24"/>
              <w:lang w:bidi="ar"/>
            </w:rPr>
            <w:t>（一）项目概况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_Toc23011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sz w:val="24"/>
              <w:szCs w:val="24"/>
              <w:lang w:eastAsia="zh-CN" w:bidi="ar"/>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46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_Toc8021 </w:instrText>
          </w:r>
          <w:r>
            <w:rPr>
              <w:rFonts w:hint="eastAsia" w:ascii="仿宋" w:hAnsi="仿宋" w:eastAsia="仿宋" w:cs="仿宋"/>
              <w:sz w:val="24"/>
              <w:szCs w:val="24"/>
              <w:lang w:eastAsia="zh-CN" w:bidi="ar"/>
            </w:rPr>
            <w:fldChar w:fldCharType="separate"/>
          </w:r>
          <w:r>
            <w:rPr>
              <w:rFonts w:hint="eastAsia" w:ascii="仿宋" w:hAnsi="仿宋" w:eastAsia="仿宋" w:cs="仿宋"/>
              <w:sz w:val="24"/>
              <w:szCs w:val="24"/>
              <w:lang w:bidi="ar"/>
            </w:rPr>
            <w:t>（二）资金概况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_Toc8021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lang w:eastAsia="zh-CN" w:bidi="ar"/>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46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_Toc17405 </w:instrText>
          </w:r>
          <w:r>
            <w:rPr>
              <w:rFonts w:hint="eastAsia" w:ascii="仿宋" w:hAnsi="仿宋" w:eastAsia="仿宋" w:cs="仿宋"/>
              <w:sz w:val="24"/>
              <w:szCs w:val="24"/>
              <w:lang w:eastAsia="zh-CN" w:bidi="ar"/>
            </w:rPr>
            <w:fldChar w:fldCharType="separate"/>
          </w:r>
          <w:r>
            <w:rPr>
              <w:rFonts w:hint="eastAsia" w:ascii="仿宋" w:hAnsi="仿宋" w:eastAsia="仿宋" w:cs="仿宋"/>
              <w:bCs/>
              <w:sz w:val="24"/>
              <w:szCs w:val="24"/>
            </w:rPr>
            <w:t>（三）项目绩效目标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_Toc17405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lang w:eastAsia="zh-CN" w:bidi="ar"/>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46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_Toc31100 </w:instrText>
          </w:r>
          <w:r>
            <w:rPr>
              <w:rFonts w:hint="eastAsia" w:ascii="仿宋" w:hAnsi="仿宋" w:eastAsia="仿宋" w:cs="仿宋"/>
              <w:sz w:val="24"/>
              <w:szCs w:val="24"/>
              <w:lang w:eastAsia="zh-CN" w:bidi="ar"/>
            </w:rPr>
            <w:fldChar w:fldCharType="separate"/>
          </w:r>
          <w:r>
            <w:rPr>
              <w:rFonts w:hint="eastAsia" w:ascii="仿宋" w:hAnsi="仿宋" w:eastAsia="仿宋" w:cs="仿宋"/>
              <w:bCs w:val="0"/>
              <w:sz w:val="24"/>
              <w:szCs w:val="24"/>
              <w:lang w:val="en-US" w:eastAsia="zh-CN" w:bidi="ar"/>
            </w:rPr>
            <w:t>（四）项目实施情况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_Toc31100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lang w:eastAsia="zh-CN" w:bidi="ar"/>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textAlignment w:val="auto"/>
            <w:rPr>
              <w:rFonts w:hint="eastAsia" w:ascii="仿宋" w:hAnsi="仿宋" w:eastAsia="仿宋" w:cs="仿宋"/>
              <w:sz w:val="24"/>
              <w:szCs w:val="24"/>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_Toc10059 </w:instrText>
          </w:r>
          <w:r>
            <w:rPr>
              <w:rFonts w:hint="eastAsia" w:ascii="仿宋" w:hAnsi="仿宋" w:eastAsia="仿宋" w:cs="仿宋"/>
              <w:sz w:val="24"/>
              <w:szCs w:val="24"/>
              <w:lang w:eastAsia="zh-CN" w:bidi="ar"/>
            </w:rPr>
            <w:fldChar w:fldCharType="separate"/>
          </w:r>
          <w:r>
            <w:rPr>
              <w:rFonts w:hint="eastAsia" w:ascii="仿宋" w:hAnsi="仿宋" w:eastAsia="仿宋" w:cs="仿宋"/>
              <w:bCs/>
              <w:sz w:val="24"/>
              <w:szCs w:val="24"/>
            </w:rPr>
            <w:t>二、评价实施思路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_Toc10059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lang w:val="en-US" w:eastAsia="zh-CN"/>
            </w:rPr>
            <w:t>7</w:t>
          </w:r>
          <w:r>
            <w:rPr>
              <w:rFonts w:hint="eastAsia" w:ascii="仿宋" w:hAnsi="仿宋" w:eastAsia="仿宋" w:cs="仿宋"/>
              <w:sz w:val="24"/>
              <w:szCs w:val="24"/>
            </w:rPr>
            <w:fldChar w:fldCharType="end"/>
          </w:r>
          <w:r>
            <w:rPr>
              <w:rFonts w:hint="eastAsia" w:ascii="仿宋" w:hAnsi="仿宋" w:eastAsia="仿宋" w:cs="仿宋"/>
              <w:sz w:val="24"/>
              <w:szCs w:val="24"/>
              <w:lang w:eastAsia="zh-CN" w:bidi="ar"/>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46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_Toc18664 </w:instrText>
          </w:r>
          <w:r>
            <w:rPr>
              <w:rFonts w:hint="eastAsia" w:ascii="仿宋" w:hAnsi="仿宋" w:eastAsia="仿宋" w:cs="仿宋"/>
              <w:sz w:val="24"/>
              <w:szCs w:val="24"/>
              <w:lang w:eastAsia="zh-CN" w:bidi="ar"/>
            </w:rPr>
            <w:fldChar w:fldCharType="separate"/>
          </w:r>
          <w:r>
            <w:rPr>
              <w:rFonts w:hint="eastAsia" w:ascii="仿宋" w:hAnsi="仿宋" w:eastAsia="仿宋" w:cs="仿宋"/>
              <w:bCs w:val="0"/>
              <w:sz w:val="24"/>
              <w:szCs w:val="24"/>
              <w:lang w:val="en-US" w:eastAsia="zh-CN" w:bidi="ar"/>
            </w:rPr>
            <w:t>（一）评价目的和依据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_Toc18664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sz w:val="24"/>
              <w:szCs w:val="24"/>
              <w:lang w:eastAsia="zh-CN" w:bidi="ar"/>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460" w:lineRule="exact"/>
            <w:ind w:left="0" w:leftChars="0" w:firstLine="240" w:firstLineChars="100"/>
            <w:textAlignment w:val="auto"/>
            <w:rPr>
              <w:rFonts w:hint="default" w:ascii="仿宋" w:hAnsi="仿宋" w:eastAsia="仿宋" w:cs="仿宋"/>
              <w:sz w:val="24"/>
              <w:szCs w:val="24"/>
              <w:lang w:val="en-US"/>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_Toc26285 </w:instrText>
          </w:r>
          <w:r>
            <w:rPr>
              <w:rFonts w:hint="eastAsia" w:ascii="仿宋" w:hAnsi="仿宋" w:eastAsia="仿宋" w:cs="仿宋"/>
              <w:sz w:val="24"/>
              <w:szCs w:val="24"/>
              <w:lang w:eastAsia="zh-CN" w:bidi="ar"/>
            </w:rPr>
            <w:fldChar w:fldCharType="separate"/>
          </w:r>
          <w:r>
            <w:rPr>
              <w:rFonts w:hint="eastAsia" w:ascii="仿宋" w:hAnsi="仿宋" w:eastAsia="仿宋" w:cs="仿宋"/>
              <w:bCs w:val="0"/>
              <w:sz w:val="24"/>
              <w:szCs w:val="24"/>
              <w:lang w:val="en-US" w:eastAsia="zh-CN" w:bidi="ar"/>
            </w:rPr>
            <w:t>（二）评价对象和范围</w:t>
          </w:r>
          <w:r>
            <w:rPr>
              <w:rFonts w:hint="eastAsia" w:ascii="仿宋" w:hAnsi="仿宋" w:eastAsia="仿宋" w:cs="仿宋"/>
              <w:sz w:val="24"/>
              <w:szCs w:val="24"/>
            </w:rPr>
            <w:tab/>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bidi="ar"/>
            </w:rPr>
            <w:fldChar w:fldCharType="end"/>
          </w:r>
          <w:r>
            <w:rPr>
              <w:rFonts w:hint="eastAsia" w:ascii="仿宋" w:hAnsi="仿宋" w:eastAsia="仿宋" w:cs="仿宋"/>
              <w:sz w:val="24"/>
              <w:szCs w:val="24"/>
              <w:lang w:val="en-US" w:eastAsia="zh-CN" w:bidi="ar"/>
            </w:rPr>
            <w:t>8</w:t>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46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_Toc23317 </w:instrText>
          </w:r>
          <w:r>
            <w:rPr>
              <w:rFonts w:hint="eastAsia" w:ascii="仿宋" w:hAnsi="仿宋" w:eastAsia="仿宋" w:cs="仿宋"/>
              <w:sz w:val="24"/>
              <w:szCs w:val="24"/>
              <w:lang w:eastAsia="zh-CN" w:bidi="ar"/>
            </w:rPr>
            <w:fldChar w:fldCharType="separate"/>
          </w:r>
          <w:r>
            <w:rPr>
              <w:rFonts w:hint="eastAsia" w:ascii="仿宋" w:hAnsi="仿宋" w:eastAsia="仿宋" w:cs="仿宋"/>
              <w:bCs w:val="0"/>
              <w:sz w:val="24"/>
              <w:szCs w:val="24"/>
              <w:lang w:val="en-US" w:eastAsia="zh-CN" w:bidi="ar"/>
            </w:rPr>
            <w:t>（三）绩效评价原则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_Toc23317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sz w:val="24"/>
              <w:szCs w:val="24"/>
              <w:lang w:eastAsia="zh-CN" w:bidi="ar"/>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46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_Toc24501 </w:instrText>
          </w:r>
          <w:r>
            <w:rPr>
              <w:rFonts w:hint="eastAsia" w:ascii="仿宋" w:hAnsi="仿宋" w:eastAsia="仿宋" w:cs="仿宋"/>
              <w:sz w:val="24"/>
              <w:szCs w:val="24"/>
              <w:lang w:eastAsia="zh-CN" w:bidi="ar"/>
            </w:rPr>
            <w:fldChar w:fldCharType="separate"/>
          </w:r>
          <w:r>
            <w:rPr>
              <w:rFonts w:hint="eastAsia" w:ascii="仿宋" w:hAnsi="仿宋" w:eastAsia="仿宋" w:cs="仿宋"/>
              <w:bCs w:val="0"/>
              <w:sz w:val="24"/>
              <w:szCs w:val="24"/>
              <w:lang w:val="en-US" w:eastAsia="zh-CN" w:bidi="ar"/>
            </w:rPr>
            <w:t>（四）绩效评价方法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_Toc24501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sz w:val="24"/>
              <w:szCs w:val="24"/>
              <w:lang w:eastAsia="zh-CN" w:bidi="ar"/>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460" w:lineRule="exact"/>
            <w:ind w:left="0" w:leftChars="0" w:firstLine="240" w:firstLineChars="100"/>
            <w:textAlignment w:val="auto"/>
            <w:rPr>
              <w:rFonts w:hint="default" w:ascii="仿宋" w:hAnsi="仿宋" w:eastAsia="仿宋" w:cs="仿宋"/>
              <w:sz w:val="24"/>
              <w:szCs w:val="24"/>
              <w:lang w:val="en-US"/>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_Toc6522 </w:instrText>
          </w:r>
          <w:r>
            <w:rPr>
              <w:rFonts w:hint="eastAsia" w:ascii="仿宋" w:hAnsi="仿宋" w:eastAsia="仿宋" w:cs="仿宋"/>
              <w:sz w:val="24"/>
              <w:szCs w:val="24"/>
              <w:lang w:eastAsia="zh-CN" w:bidi="ar"/>
            </w:rPr>
            <w:fldChar w:fldCharType="separate"/>
          </w:r>
          <w:r>
            <w:rPr>
              <w:rFonts w:hint="eastAsia" w:ascii="仿宋" w:hAnsi="仿宋" w:eastAsia="仿宋" w:cs="仿宋"/>
              <w:bCs w:val="0"/>
              <w:sz w:val="24"/>
              <w:szCs w:val="24"/>
              <w:lang w:val="en-US" w:eastAsia="zh-CN" w:bidi="ar"/>
            </w:rPr>
            <w:t>（五）评价的组织及实施</w:t>
          </w:r>
          <w:r>
            <w:rPr>
              <w:rFonts w:hint="eastAsia" w:ascii="仿宋" w:hAnsi="仿宋" w:eastAsia="仿宋" w:cs="仿宋"/>
              <w:sz w:val="24"/>
              <w:szCs w:val="24"/>
            </w:rPr>
            <w:tab/>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bidi="ar"/>
            </w:rPr>
            <w:fldChar w:fldCharType="end"/>
          </w:r>
          <w:r>
            <w:rPr>
              <w:rFonts w:hint="eastAsia" w:ascii="仿宋" w:hAnsi="仿宋" w:eastAsia="仿宋" w:cs="仿宋"/>
              <w:sz w:val="24"/>
              <w:szCs w:val="24"/>
              <w:lang w:val="en-US" w:eastAsia="zh-CN" w:bidi="ar"/>
            </w:rPr>
            <w:t>9</w:t>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460" w:lineRule="exact"/>
            <w:ind w:left="0" w:leftChars="0" w:firstLine="240" w:firstLineChars="100"/>
            <w:textAlignment w:val="auto"/>
            <w:rPr>
              <w:rFonts w:hint="default" w:ascii="仿宋" w:hAnsi="仿宋" w:eastAsia="仿宋" w:cs="仿宋"/>
              <w:sz w:val="24"/>
              <w:szCs w:val="24"/>
              <w:lang w:val="en-US"/>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_Toc3505 </w:instrText>
          </w:r>
          <w:r>
            <w:rPr>
              <w:rFonts w:hint="eastAsia" w:ascii="仿宋" w:hAnsi="仿宋" w:eastAsia="仿宋" w:cs="仿宋"/>
              <w:sz w:val="24"/>
              <w:szCs w:val="24"/>
              <w:lang w:eastAsia="zh-CN" w:bidi="ar"/>
            </w:rPr>
            <w:fldChar w:fldCharType="separate"/>
          </w:r>
          <w:r>
            <w:rPr>
              <w:rFonts w:hint="eastAsia" w:ascii="仿宋" w:hAnsi="仿宋" w:eastAsia="仿宋" w:cs="仿宋"/>
              <w:bCs w:val="0"/>
              <w:sz w:val="24"/>
              <w:szCs w:val="24"/>
              <w:lang w:val="en-US" w:eastAsia="zh-CN" w:bidi="ar"/>
            </w:rPr>
            <w:t>（六）绩效评价指标体系</w:t>
          </w:r>
          <w:r>
            <w:rPr>
              <w:rFonts w:hint="eastAsia" w:ascii="仿宋" w:hAnsi="仿宋" w:eastAsia="仿宋" w:cs="仿宋"/>
              <w:sz w:val="24"/>
              <w:szCs w:val="24"/>
            </w:rPr>
            <w:tab/>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bidi="ar"/>
            </w:rPr>
            <w:fldChar w:fldCharType="end"/>
          </w:r>
          <w:r>
            <w:rPr>
              <w:rFonts w:hint="eastAsia" w:ascii="仿宋" w:hAnsi="仿宋" w:eastAsia="仿宋" w:cs="仿宋"/>
              <w:sz w:val="24"/>
              <w:szCs w:val="24"/>
              <w:lang w:val="en-US" w:eastAsia="zh-CN" w:bidi="ar"/>
            </w:rPr>
            <w:t>1</w:t>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textAlignment w:val="auto"/>
            <w:rPr>
              <w:rFonts w:hint="eastAsia" w:ascii="仿宋" w:hAnsi="仿宋" w:eastAsia="仿宋" w:cs="仿宋"/>
              <w:sz w:val="24"/>
              <w:szCs w:val="24"/>
              <w:lang w:eastAsia="zh-CN" w:bidi="ar"/>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_Toc14409 </w:instrText>
          </w:r>
          <w:r>
            <w:rPr>
              <w:rFonts w:hint="eastAsia" w:ascii="仿宋" w:hAnsi="仿宋" w:eastAsia="仿宋" w:cs="仿宋"/>
              <w:sz w:val="24"/>
              <w:szCs w:val="24"/>
              <w:lang w:eastAsia="zh-CN" w:bidi="ar"/>
            </w:rPr>
            <w:fldChar w:fldCharType="separate"/>
          </w:r>
          <w:r>
            <w:rPr>
              <w:rFonts w:hint="eastAsia" w:ascii="仿宋" w:hAnsi="仿宋" w:eastAsia="仿宋" w:cs="仿宋"/>
              <w:sz w:val="24"/>
              <w:szCs w:val="24"/>
              <w:lang w:val="en-US" w:eastAsia="zh-CN"/>
            </w:rPr>
            <w:t>三</w:t>
          </w:r>
          <w:r>
            <w:rPr>
              <w:rFonts w:hint="eastAsia" w:ascii="仿宋" w:hAnsi="仿宋" w:eastAsia="仿宋" w:cs="仿宋"/>
              <w:sz w:val="24"/>
              <w:szCs w:val="24"/>
            </w:rPr>
            <w:t>、</w:t>
          </w:r>
          <w:r>
            <w:rPr>
              <w:rFonts w:hint="eastAsia" w:ascii="仿宋" w:hAnsi="仿宋" w:eastAsia="仿宋" w:cs="仿宋"/>
              <w:sz w:val="24"/>
              <w:szCs w:val="24"/>
              <w:lang w:eastAsia="zh-CN"/>
            </w:rPr>
            <w:t>综合评价情况</w:t>
          </w:r>
          <w:r>
            <w:rPr>
              <w:rFonts w:hint="eastAsia" w:ascii="仿宋" w:hAnsi="仿宋" w:eastAsia="仿宋" w:cs="仿宋"/>
              <w:sz w:val="24"/>
              <w:szCs w:val="24"/>
              <w:lang w:val="en-US" w:eastAsia="zh-CN"/>
            </w:rPr>
            <w:t>及评价结论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_Toc14409 </w:instrText>
          </w:r>
          <w:r>
            <w:rPr>
              <w:rFonts w:hint="eastAsia" w:ascii="仿宋" w:hAnsi="仿宋" w:eastAsia="仿宋" w:cs="仿宋"/>
              <w:sz w:val="24"/>
              <w:szCs w:val="24"/>
            </w:rPr>
            <w:fldChar w:fldCharType="separate"/>
          </w:r>
          <w:r>
            <w:rPr>
              <w:rFonts w:hint="eastAsia" w:ascii="仿宋" w:hAnsi="仿宋" w:eastAsia="仿宋" w:cs="仿宋"/>
              <w:sz w:val="24"/>
              <w:szCs w:val="24"/>
            </w:rPr>
            <w:t>23</w:t>
          </w:r>
          <w:r>
            <w:rPr>
              <w:rFonts w:hint="eastAsia" w:ascii="仿宋" w:hAnsi="仿宋" w:eastAsia="仿宋" w:cs="仿宋"/>
              <w:sz w:val="24"/>
              <w:szCs w:val="24"/>
            </w:rPr>
            <w:fldChar w:fldCharType="end"/>
          </w:r>
          <w:r>
            <w:rPr>
              <w:rFonts w:hint="eastAsia" w:ascii="仿宋" w:hAnsi="仿宋" w:eastAsia="仿宋" w:cs="仿宋"/>
              <w:sz w:val="24"/>
              <w:szCs w:val="24"/>
              <w:lang w:eastAsia="zh-CN" w:bidi="ar"/>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textAlignment w:val="auto"/>
            <w:rPr>
              <w:rFonts w:hint="default" w:ascii="仿宋" w:hAnsi="仿宋" w:eastAsia="仿宋" w:cs="仿宋"/>
              <w:sz w:val="24"/>
              <w:szCs w:val="24"/>
              <w:lang w:val="en-US"/>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_Toc9002 </w:instrText>
          </w:r>
          <w:r>
            <w:rPr>
              <w:rFonts w:hint="eastAsia" w:ascii="仿宋" w:hAnsi="仿宋" w:eastAsia="仿宋" w:cs="仿宋"/>
              <w:sz w:val="24"/>
              <w:szCs w:val="24"/>
              <w:lang w:eastAsia="zh-CN" w:bidi="ar"/>
            </w:rPr>
            <w:fldChar w:fldCharType="separate"/>
          </w:r>
          <w:r>
            <w:rPr>
              <w:rFonts w:hint="eastAsia" w:ascii="仿宋" w:hAnsi="仿宋" w:eastAsia="仿宋" w:cs="仿宋"/>
              <w:bCs w:val="0"/>
              <w:sz w:val="24"/>
              <w:szCs w:val="24"/>
              <w:highlight w:val="none"/>
              <w:lang w:val="en-US" w:eastAsia="zh-CN"/>
            </w:rPr>
            <w:t>四、绩效评价指标分析情况</w:t>
          </w:r>
          <w:r>
            <w:rPr>
              <w:rFonts w:hint="eastAsia" w:ascii="仿宋" w:hAnsi="仿宋" w:eastAsia="仿宋" w:cs="仿宋"/>
              <w:sz w:val="24"/>
              <w:szCs w:val="24"/>
            </w:rPr>
            <w:tab/>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bidi="ar"/>
            </w:rPr>
            <w:fldChar w:fldCharType="end"/>
          </w:r>
          <w:r>
            <w:rPr>
              <w:rFonts w:hint="eastAsia" w:ascii="仿宋" w:hAnsi="仿宋" w:eastAsia="仿宋" w:cs="仿宋"/>
              <w:sz w:val="24"/>
              <w:szCs w:val="24"/>
              <w:lang w:val="en-US" w:eastAsia="zh-CN" w:bidi="ar"/>
            </w:rPr>
            <w:t>4</w:t>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ind w:firstLine="240" w:firstLineChars="100"/>
            <w:textAlignment w:val="auto"/>
            <w:rPr>
              <w:rFonts w:hint="eastAsia" w:ascii="仿宋" w:hAnsi="仿宋" w:eastAsia="仿宋" w:cs="仿宋"/>
              <w:sz w:val="24"/>
              <w:szCs w:val="24"/>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_Toc26463 </w:instrText>
          </w:r>
          <w:r>
            <w:rPr>
              <w:rFonts w:hint="eastAsia" w:ascii="仿宋" w:hAnsi="仿宋" w:eastAsia="仿宋" w:cs="仿宋"/>
              <w:sz w:val="24"/>
              <w:szCs w:val="24"/>
              <w:lang w:eastAsia="zh-CN" w:bidi="ar"/>
            </w:rPr>
            <w:fldChar w:fldCharType="separate"/>
          </w:r>
          <w:r>
            <w:rPr>
              <w:rFonts w:hint="eastAsia" w:ascii="仿宋" w:hAnsi="仿宋" w:eastAsia="仿宋" w:cs="仿宋"/>
              <w:sz w:val="24"/>
              <w:szCs w:val="24"/>
              <w:lang w:val="en-US" w:eastAsia="zh-CN"/>
            </w:rPr>
            <w:t>（一）决策情况分析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_Toc26463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sz w:val="24"/>
              <w:szCs w:val="24"/>
              <w:lang w:eastAsia="zh-CN" w:bidi="ar"/>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ind w:firstLine="240" w:firstLineChars="100"/>
            <w:textAlignment w:val="auto"/>
            <w:rPr>
              <w:rFonts w:hint="eastAsia" w:ascii="仿宋" w:hAnsi="仿宋" w:eastAsia="仿宋" w:cs="仿宋"/>
              <w:sz w:val="24"/>
              <w:szCs w:val="24"/>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_Toc23760 </w:instrText>
          </w:r>
          <w:r>
            <w:rPr>
              <w:rFonts w:hint="eastAsia" w:ascii="仿宋" w:hAnsi="仿宋" w:eastAsia="仿宋" w:cs="仿宋"/>
              <w:sz w:val="24"/>
              <w:szCs w:val="24"/>
              <w:lang w:eastAsia="zh-CN" w:bidi="ar"/>
            </w:rPr>
            <w:fldChar w:fldCharType="separate"/>
          </w:r>
          <w:r>
            <w:rPr>
              <w:rFonts w:hint="eastAsia" w:ascii="仿宋" w:hAnsi="仿宋" w:eastAsia="仿宋" w:cs="仿宋"/>
              <w:sz w:val="24"/>
              <w:szCs w:val="24"/>
            </w:rPr>
            <w:t>（</w:t>
          </w:r>
          <w:r>
            <w:rPr>
              <w:rFonts w:hint="eastAsia" w:ascii="仿宋" w:hAnsi="仿宋" w:eastAsia="仿宋" w:cs="仿宋"/>
              <w:sz w:val="24"/>
              <w:szCs w:val="24"/>
              <w:lang w:val="en-US" w:eastAsia="zh-CN"/>
            </w:rPr>
            <w:t>二</w:t>
          </w:r>
          <w:r>
            <w:rPr>
              <w:rFonts w:hint="eastAsia" w:ascii="仿宋" w:hAnsi="仿宋" w:eastAsia="仿宋" w:cs="仿宋"/>
              <w:sz w:val="24"/>
              <w:szCs w:val="24"/>
            </w:rPr>
            <w:t>）过程情况分析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_Toc23760 </w:instrText>
          </w:r>
          <w:r>
            <w:rPr>
              <w:rFonts w:hint="eastAsia" w:ascii="仿宋" w:hAnsi="仿宋" w:eastAsia="仿宋" w:cs="仿宋"/>
              <w:sz w:val="24"/>
              <w:szCs w:val="24"/>
            </w:rPr>
            <w:fldChar w:fldCharType="separate"/>
          </w:r>
          <w:r>
            <w:rPr>
              <w:rFonts w:hint="eastAsia" w:ascii="仿宋" w:hAnsi="仿宋" w:eastAsia="仿宋" w:cs="仿宋"/>
              <w:sz w:val="24"/>
              <w:szCs w:val="24"/>
            </w:rPr>
            <w:t>26</w:t>
          </w:r>
          <w:r>
            <w:rPr>
              <w:rFonts w:hint="eastAsia" w:ascii="仿宋" w:hAnsi="仿宋" w:eastAsia="仿宋" w:cs="仿宋"/>
              <w:sz w:val="24"/>
              <w:szCs w:val="24"/>
            </w:rPr>
            <w:fldChar w:fldCharType="end"/>
          </w:r>
          <w:r>
            <w:rPr>
              <w:rFonts w:hint="eastAsia" w:ascii="仿宋" w:hAnsi="仿宋" w:eastAsia="仿宋" w:cs="仿宋"/>
              <w:sz w:val="24"/>
              <w:szCs w:val="24"/>
              <w:lang w:eastAsia="zh-CN" w:bidi="ar"/>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ind w:firstLine="240" w:firstLineChars="100"/>
            <w:textAlignment w:val="auto"/>
            <w:rPr>
              <w:rFonts w:hint="default" w:ascii="仿宋" w:hAnsi="仿宋" w:eastAsia="仿宋" w:cs="仿宋"/>
              <w:sz w:val="24"/>
              <w:szCs w:val="24"/>
              <w:lang w:val="en-US"/>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_Toc13363 </w:instrText>
          </w:r>
          <w:r>
            <w:rPr>
              <w:rFonts w:hint="eastAsia" w:ascii="仿宋" w:hAnsi="仿宋" w:eastAsia="仿宋" w:cs="仿宋"/>
              <w:sz w:val="24"/>
              <w:szCs w:val="24"/>
              <w:lang w:eastAsia="zh-CN" w:bidi="ar"/>
            </w:rPr>
            <w:fldChar w:fldCharType="separate"/>
          </w:r>
          <w:r>
            <w:rPr>
              <w:rFonts w:hint="eastAsia" w:ascii="仿宋" w:hAnsi="仿宋" w:eastAsia="仿宋" w:cs="仿宋"/>
              <w:sz w:val="24"/>
              <w:szCs w:val="24"/>
              <w:lang w:val="en-US" w:eastAsia="zh-CN"/>
            </w:rPr>
            <w:t>（三）产出情况分析</w:t>
          </w:r>
          <w:r>
            <w:rPr>
              <w:rFonts w:hint="eastAsia" w:ascii="仿宋" w:hAnsi="仿宋" w:eastAsia="仿宋" w:cs="仿宋"/>
              <w:sz w:val="24"/>
              <w:szCs w:val="24"/>
            </w:rPr>
            <w:tab/>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bidi="ar"/>
            </w:rPr>
            <w:fldChar w:fldCharType="end"/>
          </w:r>
          <w:r>
            <w:rPr>
              <w:rFonts w:hint="eastAsia" w:ascii="仿宋" w:hAnsi="仿宋" w:eastAsia="仿宋" w:cs="仿宋"/>
              <w:sz w:val="24"/>
              <w:szCs w:val="24"/>
              <w:lang w:val="en-US" w:eastAsia="zh-CN" w:bidi="ar"/>
            </w:rPr>
            <w:t>0</w:t>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ind w:firstLine="240" w:firstLineChars="100"/>
            <w:textAlignment w:val="auto"/>
            <w:rPr>
              <w:rFonts w:hint="default" w:ascii="仿宋" w:hAnsi="仿宋" w:eastAsia="仿宋" w:cs="仿宋"/>
              <w:sz w:val="24"/>
              <w:szCs w:val="24"/>
              <w:lang w:val="en-US"/>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_Toc18862 </w:instrText>
          </w:r>
          <w:r>
            <w:rPr>
              <w:rFonts w:hint="eastAsia" w:ascii="仿宋" w:hAnsi="仿宋" w:eastAsia="仿宋" w:cs="仿宋"/>
              <w:sz w:val="24"/>
              <w:szCs w:val="24"/>
              <w:lang w:eastAsia="zh-CN" w:bidi="ar"/>
            </w:rPr>
            <w:fldChar w:fldCharType="separate"/>
          </w:r>
          <w:r>
            <w:rPr>
              <w:rFonts w:hint="eastAsia" w:ascii="仿宋" w:hAnsi="仿宋" w:eastAsia="仿宋" w:cs="仿宋"/>
              <w:sz w:val="24"/>
              <w:szCs w:val="24"/>
            </w:rPr>
            <w:t>（</w:t>
          </w:r>
          <w:r>
            <w:rPr>
              <w:rFonts w:hint="eastAsia" w:ascii="仿宋" w:hAnsi="仿宋" w:eastAsia="仿宋" w:cs="仿宋"/>
              <w:sz w:val="24"/>
              <w:szCs w:val="24"/>
              <w:lang w:val="en-US" w:eastAsia="zh-CN"/>
            </w:rPr>
            <w:t>四</w:t>
          </w:r>
          <w:r>
            <w:rPr>
              <w:rFonts w:hint="eastAsia" w:ascii="仿宋" w:hAnsi="仿宋" w:eastAsia="仿宋" w:cs="仿宋"/>
              <w:sz w:val="24"/>
              <w:szCs w:val="24"/>
            </w:rPr>
            <w:t>）</w:t>
          </w:r>
          <w:r>
            <w:rPr>
              <w:rFonts w:hint="eastAsia" w:ascii="仿宋" w:hAnsi="仿宋" w:eastAsia="仿宋" w:cs="仿宋"/>
              <w:sz w:val="24"/>
              <w:szCs w:val="24"/>
              <w:lang w:eastAsia="zh-CN"/>
            </w:rPr>
            <w:t>效益</w:t>
          </w:r>
          <w:r>
            <w:rPr>
              <w:rFonts w:hint="eastAsia" w:ascii="仿宋" w:hAnsi="仿宋" w:eastAsia="仿宋" w:cs="仿宋"/>
              <w:sz w:val="24"/>
              <w:szCs w:val="24"/>
            </w:rPr>
            <w:t>分析</w:t>
          </w:r>
          <w:r>
            <w:rPr>
              <w:rFonts w:hint="eastAsia" w:ascii="仿宋" w:hAnsi="仿宋" w:eastAsia="仿宋" w:cs="仿宋"/>
              <w:sz w:val="24"/>
              <w:szCs w:val="24"/>
            </w:rPr>
            <w:tab/>
          </w:r>
          <w:r>
            <w:rPr>
              <w:rFonts w:hint="eastAsia" w:ascii="仿宋" w:hAnsi="仿宋" w:eastAsia="仿宋" w:cs="仿宋"/>
              <w:sz w:val="24"/>
              <w:szCs w:val="24"/>
              <w:lang w:val="en-US" w:eastAsia="zh-CN"/>
            </w:rPr>
            <w:t>4</w:t>
          </w:r>
          <w:r>
            <w:rPr>
              <w:rFonts w:hint="eastAsia" w:ascii="仿宋" w:hAnsi="仿宋" w:eastAsia="仿宋" w:cs="仿宋"/>
              <w:sz w:val="24"/>
              <w:szCs w:val="24"/>
              <w:lang w:eastAsia="zh-CN" w:bidi="ar"/>
            </w:rPr>
            <w:fldChar w:fldCharType="end"/>
          </w:r>
          <w:r>
            <w:rPr>
              <w:rFonts w:hint="eastAsia" w:ascii="仿宋" w:hAnsi="仿宋" w:eastAsia="仿宋" w:cs="仿宋"/>
              <w:sz w:val="24"/>
              <w:szCs w:val="24"/>
              <w:lang w:val="en-US" w:eastAsia="zh-CN" w:bidi="ar"/>
            </w:rPr>
            <w:t>8</w:t>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textAlignment w:val="auto"/>
            <w:rPr>
              <w:rFonts w:hint="eastAsia" w:ascii="仿宋" w:hAnsi="仿宋" w:eastAsia="仿宋" w:cs="仿宋"/>
              <w:sz w:val="24"/>
              <w:szCs w:val="24"/>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_Toc11552 </w:instrText>
          </w:r>
          <w:r>
            <w:rPr>
              <w:rFonts w:hint="eastAsia" w:ascii="仿宋" w:hAnsi="仿宋" w:eastAsia="仿宋" w:cs="仿宋"/>
              <w:sz w:val="24"/>
              <w:szCs w:val="24"/>
              <w:lang w:eastAsia="zh-CN" w:bidi="ar"/>
            </w:rPr>
            <w:fldChar w:fldCharType="separate"/>
          </w:r>
          <w:r>
            <w:rPr>
              <w:rFonts w:hint="eastAsia" w:ascii="仿宋" w:hAnsi="仿宋" w:eastAsia="仿宋" w:cs="仿宋"/>
              <w:bCs w:val="0"/>
              <w:kern w:val="2"/>
              <w:sz w:val="24"/>
              <w:szCs w:val="24"/>
              <w:lang w:val="en-US" w:eastAsia="zh-CN" w:bidi="ar-SA"/>
            </w:rPr>
            <w:t>五、项目主要经验做法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_Toc11552 </w:instrText>
          </w:r>
          <w:r>
            <w:rPr>
              <w:rFonts w:hint="eastAsia" w:ascii="仿宋" w:hAnsi="仿宋" w:eastAsia="仿宋" w:cs="仿宋"/>
              <w:sz w:val="24"/>
              <w:szCs w:val="24"/>
            </w:rPr>
            <w:fldChar w:fldCharType="separate"/>
          </w:r>
          <w:r>
            <w:rPr>
              <w:rFonts w:hint="eastAsia" w:ascii="仿宋" w:hAnsi="仿宋" w:eastAsia="仿宋" w:cs="仿宋"/>
              <w:sz w:val="24"/>
              <w:szCs w:val="24"/>
            </w:rPr>
            <w:t>54</w:t>
          </w:r>
          <w:r>
            <w:rPr>
              <w:rFonts w:hint="eastAsia" w:ascii="仿宋" w:hAnsi="仿宋" w:eastAsia="仿宋" w:cs="仿宋"/>
              <w:sz w:val="24"/>
              <w:szCs w:val="24"/>
            </w:rPr>
            <w:fldChar w:fldCharType="end"/>
          </w:r>
          <w:r>
            <w:rPr>
              <w:rFonts w:hint="eastAsia" w:ascii="仿宋" w:hAnsi="仿宋" w:eastAsia="仿宋" w:cs="仿宋"/>
              <w:sz w:val="24"/>
              <w:szCs w:val="24"/>
              <w:lang w:eastAsia="zh-CN" w:bidi="ar"/>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textAlignment w:val="auto"/>
            <w:rPr>
              <w:rFonts w:hint="eastAsia" w:ascii="仿宋" w:hAnsi="仿宋" w:eastAsia="仿宋" w:cs="仿宋"/>
              <w:sz w:val="24"/>
              <w:szCs w:val="24"/>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_Toc23193 </w:instrText>
          </w:r>
          <w:r>
            <w:rPr>
              <w:rFonts w:hint="eastAsia" w:ascii="仿宋" w:hAnsi="仿宋" w:eastAsia="仿宋" w:cs="仿宋"/>
              <w:sz w:val="24"/>
              <w:szCs w:val="24"/>
              <w:lang w:eastAsia="zh-CN" w:bidi="ar"/>
            </w:rPr>
            <w:fldChar w:fldCharType="separate"/>
          </w:r>
          <w:r>
            <w:rPr>
              <w:rFonts w:hint="eastAsia" w:ascii="仿宋" w:hAnsi="仿宋" w:eastAsia="仿宋" w:cs="仿宋"/>
              <w:bCs w:val="0"/>
              <w:kern w:val="2"/>
              <w:sz w:val="24"/>
              <w:szCs w:val="24"/>
              <w:highlight w:val="none"/>
              <w:lang w:val="en-US" w:eastAsia="zh-CN" w:bidi="ar-SA"/>
            </w:rPr>
            <w:t>六、项目实施及管理过程中存在的问题及原因分析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_Toc23193 </w:instrText>
          </w:r>
          <w:r>
            <w:rPr>
              <w:rFonts w:hint="eastAsia" w:ascii="仿宋" w:hAnsi="仿宋" w:eastAsia="仿宋" w:cs="仿宋"/>
              <w:sz w:val="24"/>
              <w:szCs w:val="24"/>
            </w:rPr>
            <w:fldChar w:fldCharType="separate"/>
          </w:r>
          <w:r>
            <w:rPr>
              <w:rFonts w:hint="eastAsia" w:ascii="仿宋" w:hAnsi="仿宋" w:eastAsia="仿宋" w:cs="仿宋"/>
              <w:sz w:val="24"/>
              <w:szCs w:val="24"/>
            </w:rPr>
            <w:t>56</w:t>
          </w:r>
          <w:r>
            <w:rPr>
              <w:rFonts w:hint="eastAsia" w:ascii="仿宋" w:hAnsi="仿宋" w:eastAsia="仿宋" w:cs="仿宋"/>
              <w:sz w:val="24"/>
              <w:szCs w:val="24"/>
            </w:rPr>
            <w:fldChar w:fldCharType="end"/>
          </w:r>
          <w:r>
            <w:rPr>
              <w:rFonts w:hint="eastAsia" w:ascii="仿宋" w:hAnsi="仿宋" w:eastAsia="仿宋" w:cs="仿宋"/>
              <w:sz w:val="24"/>
              <w:szCs w:val="24"/>
              <w:lang w:eastAsia="zh-CN" w:bidi="ar"/>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textAlignment w:val="auto"/>
            <w:rPr>
              <w:rFonts w:hint="default" w:ascii="仿宋" w:hAnsi="仿宋" w:eastAsia="仿宋" w:cs="仿宋"/>
              <w:sz w:val="24"/>
              <w:szCs w:val="24"/>
              <w:lang w:val="en-US"/>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_Toc15258 </w:instrText>
          </w:r>
          <w:r>
            <w:rPr>
              <w:rFonts w:hint="eastAsia" w:ascii="仿宋" w:hAnsi="仿宋" w:eastAsia="仿宋" w:cs="仿宋"/>
              <w:sz w:val="24"/>
              <w:szCs w:val="24"/>
              <w:lang w:eastAsia="zh-CN" w:bidi="ar"/>
            </w:rPr>
            <w:fldChar w:fldCharType="separate"/>
          </w:r>
          <w:r>
            <w:rPr>
              <w:rFonts w:hint="eastAsia" w:ascii="仿宋" w:hAnsi="仿宋" w:eastAsia="仿宋" w:cs="仿宋"/>
              <w:bCs w:val="0"/>
              <w:kern w:val="2"/>
              <w:sz w:val="24"/>
              <w:szCs w:val="24"/>
              <w:highlight w:val="none"/>
              <w:lang w:val="en-US" w:eastAsia="zh-CN" w:bidi="ar-SA"/>
            </w:rPr>
            <w:t>七、下一步改进建议</w:t>
          </w:r>
          <w:r>
            <w:rPr>
              <w:rFonts w:hint="eastAsia" w:ascii="仿宋" w:hAnsi="仿宋" w:eastAsia="仿宋" w:cs="仿宋"/>
              <w:sz w:val="24"/>
              <w:szCs w:val="24"/>
            </w:rPr>
            <w:tab/>
          </w:r>
          <w:r>
            <w:rPr>
              <w:rFonts w:hint="eastAsia" w:ascii="仿宋" w:hAnsi="仿宋" w:eastAsia="仿宋" w:cs="仿宋"/>
              <w:sz w:val="24"/>
              <w:szCs w:val="24"/>
              <w:lang w:val="en-US" w:eastAsia="zh-CN"/>
            </w:rPr>
            <w:t>5</w:t>
          </w:r>
          <w:r>
            <w:rPr>
              <w:rFonts w:hint="eastAsia" w:ascii="仿宋" w:hAnsi="仿宋" w:eastAsia="仿宋" w:cs="仿宋"/>
              <w:sz w:val="24"/>
              <w:szCs w:val="24"/>
              <w:lang w:eastAsia="zh-CN" w:bidi="ar"/>
            </w:rPr>
            <w:fldChar w:fldCharType="end"/>
          </w:r>
          <w:r>
            <w:rPr>
              <w:rFonts w:hint="eastAsia" w:ascii="仿宋" w:hAnsi="仿宋" w:eastAsia="仿宋" w:cs="仿宋"/>
              <w:sz w:val="24"/>
              <w:szCs w:val="24"/>
              <w:lang w:val="en-US" w:eastAsia="zh-CN" w:bidi="ar"/>
            </w:rPr>
            <w:t>9</w:t>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textAlignment w:val="auto"/>
            <w:rPr>
              <w:rFonts w:hint="default" w:ascii="仿宋" w:hAnsi="仿宋" w:eastAsia="仿宋" w:cs="仿宋"/>
              <w:sz w:val="24"/>
              <w:szCs w:val="24"/>
              <w:lang w:val="en-US"/>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_Toc26642 </w:instrText>
          </w:r>
          <w:r>
            <w:rPr>
              <w:rFonts w:hint="eastAsia" w:ascii="仿宋" w:hAnsi="仿宋" w:eastAsia="仿宋" w:cs="仿宋"/>
              <w:sz w:val="24"/>
              <w:szCs w:val="24"/>
              <w:lang w:eastAsia="zh-CN" w:bidi="ar"/>
            </w:rPr>
            <w:fldChar w:fldCharType="separate"/>
          </w:r>
          <w:r>
            <w:rPr>
              <w:rFonts w:hint="eastAsia" w:ascii="仿宋" w:hAnsi="仿宋" w:eastAsia="仿宋" w:cs="仿宋"/>
              <w:bCs w:val="0"/>
              <w:kern w:val="2"/>
              <w:sz w:val="24"/>
              <w:szCs w:val="24"/>
              <w:highlight w:val="none"/>
              <w:lang w:val="en-US" w:eastAsia="zh-CN" w:bidi="ar-SA"/>
            </w:rPr>
            <w:t>八、绩效评价结果应用建议</w:t>
          </w:r>
          <w:r>
            <w:rPr>
              <w:rFonts w:hint="eastAsia" w:ascii="仿宋" w:hAnsi="仿宋" w:eastAsia="仿宋" w:cs="仿宋"/>
              <w:sz w:val="24"/>
              <w:szCs w:val="24"/>
            </w:rPr>
            <w:tab/>
          </w:r>
          <w:r>
            <w:rPr>
              <w:rFonts w:hint="eastAsia" w:ascii="仿宋" w:hAnsi="仿宋" w:eastAsia="仿宋" w:cs="仿宋"/>
              <w:sz w:val="24"/>
              <w:szCs w:val="24"/>
              <w:lang w:val="en-US" w:eastAsia="zh-CN"/>
            </w:rPr>
            <w:t>6</w:t>
          </w:r>
          <w:r>
            <w:rPr>
              <w:rFonts w:hint="eastAsia" w:ascii="仿宋" w:hAnsi="仿宋" w:eastAsia="仿宋" w:cs="仿宋"/>
              <w:sz w:val="24"/>
              <w:szCs w:val="24"/>
              <w:lang w:eastAsia="zh-CN" w:bidi="ar"/>
            </w:rPr>
            <w:fldChar w:fldCharType="end"/>
          </w:r>
          <w:r>
            <w:rPr>
              <w:rFonts w:hint="eastAsia" w:ascii="仿宋" w:hAnsi="仿宋" w:eastAsia="仿宋" w:cs="仿宋"/>
              <w:sz w:val="24"/>
              <w:szCs w:val="24"/>
              <w:lang w:val="en-US" w:eastAsia="zh-CN" w:bidi="ar"/>
            </w:rPr>
            <w:t>1</w:t>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textAlignment w:val="auto"/>
            <w:rPr>
              <w:rFonts w:hint="eastAsia" w:ascii="仿宋" w:hAnsi="仿宋" w:eastAsia="仿宋" w:cs="仿宋"/>
              <w:sz w:val="24"/>
              <w:szCs w:val="24"/>
              <w:lang w:eastAsia="zh-CN" w:bidi="ar"/>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_Toc316 </w:instrText>
          </w:r>
          <w:r>
            <w:rPr>
              <w:rFonts w:hint="eastAsia" w:ascii="仿宋" w:hAnsi="仿宋" w:eastAsia="仿宋" w:cs="仿宋"/>
              <w:sz w:val="24"/>
              <w:szCs w:val="24"/>
              <w:lang w:eastAsia="zh-CN" w:bidi="ar"/>
            </w:rPr>
            <w:fldChar w:fldCharType="separate"/>
          </w:r>
          <w:r>
            <w:rPr>
              <w:rFonts w:hint="eastAsia" w:ascii="仿宋" w:hAnsi="仿宋" w:eastAsia="仿宋" w:cs="仿宋"/>
              <w:bCs/>
              <w:sz w:val="24"/>
              <w:szCs w:val="24"/>
            </w:rPr>
            <w:t>附件1</w:t>
          </w:r>
          <w:r>
            <w:rPr>
              <w:rFonts w:hint="eastAsia" w:ascii="仿宋" w:hAnsi="仿宋" w:eastAsia="仿宋" w:cs="仿宋"/>
              <w:bCs/>
              <w:sz w:val="24"/>
              <w:szCs w:val="24"/>
              <w:lang w:val="en-US" w:eastAsia="zh-CN"/>
            </w:rPr>
            <w:t>-1</w:t>
          </w:r>
          <w:r>
            <w:rPr>
              <w:rFonts w:hint="eastAsia" w:ascii="仿宋" w:hAnsi="仿宋" w:eastAsia="仿宋" w:cs="仿宋"/>
              <w:bCs/>
              <w:sz w:val="24"/>
              <w:szCs w:val="24"/>
            </w:rPr>
            <w:t>：</w:t>
          </w:r>
          <w:r>
            <w:rPr>
              <w:rFonts w:hint="eastAsia" w:ascii="仿宋" w:hAnsi="仿宋" w:eastAsia="仿宋" w:cs="仿宋"/>
              <w:bCs/>
              <w:sz w:val="24"/>
              <w:szCs w:val="24"/>
              <w:lang w:eastAsia="zh-CN"/>
            </w:rPr>
            <w:t>临猗县基本公共卫生服务项目绩效评价指标评分表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_Toc316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lang w:val="en-US" w:eastAsia="zh-CN"/>
            </w:rPr>
            <w:t>3</w:t>
          </w:r>
          <w:r>
            <w:rPr>
              <w:rFonts w:hint="eastAsia" w:ascii="仿宋" w:hAnsi="仿宋" w:eastAsia="仿宋" w:cs="仿宋"/>
              <w:sz w:val="24"/>
              <w:szCs w:val="24"/>
            </w:rPr>
            <w:fldChar w:fldCharType="end"/>
          </w:r>
          <w:r>
            <w:rPr>
              <w:rFonts w:hint="eastAsia" w:ascii="仿宋" w:hAnsi="仿宋" w:eastAsia="仿宋" w:cs="仿宋"/>
              <w:sz w:val="24"/>
              <w:szCs w:val="24"/>
              <w:lang w:eastAsia="zh-CN" w:bidi="ar"/>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textAlignment w:val="auto"/>
            <w:rPr>
              <w:rFonts w:hint="default" w:ascii="仿宋" w:hAnsi="仿宋" w:eastAsia="仿宋" w:cs="仿宋"/>
              <w:sz w:val="24"/>
              <w:szCs w:val="24"/>
              <w:lang w:val="en-US"/>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_Toc1351 </w:instrText>
          </w:r>
          <w:r>
            <w:rPr>
              <w:rFonts w:hint="eastAsia" w:ascii="仿宋" w:hAnsi="仿宋" w:eastAsia="仿宋" w:cs="仿宋"/>
              <w:sz w:val="24"/>
              <w:szCs w:val="24"/>
              <w:lang w:eastAsia="zh-CN" w:bidi="ar"/>
            </w:rPr>
            <w:fldChar w:fldCharType="separate"/>
          </w:r>
          <w:r>
            <w:rPr>
              <w:rFonts w:hint="eastAsia" w:ascii="仿宋" w:hAnsi="仿宋" w:eastAsia="仿宋" w:cs="仿宋"/>
              <w:bCs/>
              <w:sz w:val="24"/>
              <w:szCs w:val="24"/>
            </w:rPr>
            <w:t>附件</w:t>
          </w:r>
          <w:r>
            <w:rPr>
              <w:rFonts w:hint="eastAsia" w:ascii="仿宋" w:hAnsi="仿宋" w:eastAsia="仿宋" w:cs="仿宋"/>
              <w:bCs/>
              <w:sz w:val="24"/>
              <w:szCs w:val="24"/>
              <w:lang w:val="en-US" w:eastAsia="zh-CN"/>
            </w:rPr>
            <w:t>1-</w:t>
          </w:r>
          <w:r>
            <w:rPr>
              <w:rFonts w:hint="eastAsia" w:ascii="仿宋" w:hAnsi="仿宋" w:eastAsia="仿宋" w:cs="仿宋"/>
              <w:bCs/>
              <w:sz w:val="24"/>
              <w:szCs w:val="24"/>
            </w:rPr>
            <w:t>2：卫体局与抽查的10家基层医疗卫生机构评分表</w:t>
          </w:r>
          <w:r>
            <w:rPr>
              <w:rFonts w:hint="eastAsia" w:ascii="仿宋" w:hAnsi="仿宋" w:eastAsia="仿宋" w:cs="仿宋"/>
              <w:sz w:val="24"/>
              <w:szCs w:val="24"/>
            </w:rPr>
            <w:tab/>
          </w:r>
          <w:r>
            <w:rPr>
              <w:rFonts w:hint="eastAsia" w:ascii="仿宋" w:hAnsi="仿宋" w:eastAsia="仿宋" w:cs="仿宋"/>
              <w:sz w:val="24"/>
              <w:szCs w:val="24"/>
              <w:lang w:eastAsia="zh-CN" w:bidi="ar"/>
            </w:rPr>
            <w:fldChar w:fldCharType="end"/>
          </w:r>
          <w:r>
            <w:rPr>
              <w:rFonts w:hint="eastAsia" w:ascii="仿宋" w:hAnsi="仿宋" w:eastAsia="仿宋" w:cs="仿宋"/>
              <w:sz w:val="24"/>
              <w:szCs w:val="24"/>
              <w:lang w:val="en-US" w:eastAsia="zh-CN" w:bidi="ar"/>
            </w:rPr>
            <w:t>76</w:t>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460" w:lineRule="exact"/>
            <w:textAlignment w:val="auto"/>
            <w:rPr>
              <w:rFonts w:hint="default" w:ascii="仿宋" w:hAnsi="仿宋" w:eastAsia="仿宋" w:cs="仿宋"/>
              <w:sz w:val="24"/>
              <w:szCs w:val="24"/>
              <w:lang w:val="en-US"/>
            </w:rPr>
          </w:pPr>
          <w:r>
            <w:rPr>
              <w:rFonts w:hint="eastAsia" w:ascii="仿宋" w:hAnsi="仿宋" w:eastAsia="仿宋" w:cs="仿宋"/>
              <w:sz w:val="24"/>
              <w:szCs w:val="24"/>
              <w:lang w:eastAsia="zh-CN" w:bidi="ar"/>
            </w:rPr>
            <w:fldChar w:fldCharType="begin"/>
          </w:r>
          <w:r>
            <w:rPr>
              <w:rFonts w:hint="eastAsia" w:ascii="仿宋" w:hAnsi="仿宋" w:eastAsia="仿宋" w:cs="仿宋"/>
              <w:sz w:val="24"/>
              <w:szCs w:val="24"/>
              <w:lang w:eastAsia="zh-CN" w:bidi="ar"/>
            </w:rPr>
            <w:instrText xml:space="preserve"> HYPERLINK \l _Toc788 </w:instrText>
          </w:r>
          <w:r>
            <w:rPr>
              <w:rFonts w:hint="eastAsia" w:ascii="仿宋" w:hAnsi="仿宋" w:eastAsia="仿宋" w:cs="仿宋"/>
              <w:sz w:val="24"/>
              <w:szCs w:val="24"/>
              <w:lang w:eastAsia="zh-CN" w:bidi="ar"/>
            </w:rPr>
            <w:fldChar w:fldCharType="separate"/>
          </w:r>
          <w:r>
            <w:rPr>
              <w:rFonts w:hint="eastAsia" w:ascii="仿宋" w:hAnsi="仿宋" w:eastAsia="仿宋" w:cs="仿宋"/>
              <w:bCs/>
              <w:sz w:val="24"/>
              <w:szCs w:val="24"/>
            </w:rPr>
            <w:t>附件</w:t>
          </w:r>
          <w:r>
            <w:rPr>
              <w:rFonts w:hint="eastAsia" w:ascii="仿宋" w:hAnsi="仿宋" w:eastAsia="仿宋" w:cs="仿宋"/>
              <w:bCs/>
              <w:sz w:val="24"/>
              <w:szCs w:val="24"/>
              <w:lang w:val="en-US" w:eastAsia="zh-CN"/>
            </w:rPr>
            <w:t>2</w:t>
          </w:r>
          <w:r>
            <w:rPr>
              <w:rFonts w:hint="eastAsia" w:ascii="仿宋" w:hAnsi="仿宋" w:eastAsia="仿宋" w:cs="仿宋"/>
              <w:bCs/>
              <w:sz w:val="24"/>
              <w:szCs w:val="24"/>
            </w:rPr>
            <w:t>：调查问卷分析报告</w:t>
          </w:r>
          <w:r>
            <w:rPr>
              <w:rFonts w:hint="eastAsia" w:ascii="仿宋" w:hAnsi="仿宋" w:eastAsia="仿宋" w:cs="仿宋"/>
              <w:sz w:val="24"/>
              <w:szCs w:val="24"/>
            </w:rPr>
            <w:tab/>
          </w:r>
          <w:r>
            <w:rPr>
              <w:rFonts w:hint="eastAsia" w:ascii="仿宋" w:hAnsi="仿宋" w:eastAsia="仿宋" w:cs="仿宋"/>
              <w:sz w:val="24"/>
              <w:szCs w:val="24"/>
              <w:lang w:eastAsia="zh-CN" w:bidi="ar"/>
            </w:rPr>
            <w:fldChar w:fldCharType="end"/>
          </w:r>
          <w:r>
            <w:rPr>
              <w:rFonts w:hint="eastAsia" w:ascii="仿宋" w:hAnsi="仿宋" w:eastAsia="仿宋" w:cs="仿宋"/>
              <w:sz w:val="24"/>
              <w:szCs w:val="24"/>
              <w:lang w:val="en-US" w:eastAsia="zh-CN" w:bidi="ar"/>
            </w:rPr>
            <w:t>82</w:t>
          </w:r>
        </w:p>
        <w:p>
          <w:pPr>
            <w:spacing w:before="0" w:beforeLines="0" w:after="0" w:afterLines="0" w:line="240" w:lineRule="auto"/>
            <w:ind w:left="0" w:leftChars="0" w:right="0" w:rightChars="0" w:firstLine="0" w:firstLineChars="0"/>
            <w:jc w:val="center"/>
            <w:rPr>
              <w:rFonts w:hint="eastAsia" w:ascii="仿宋" w:hAnsi="仿宋" w:eastAsia="仿宋" w:cs="仿宋"/>
              <w:b/>
              <w:sz w:val="32"/>
              <w:szCs w:val="32"/>
              <w:lang w:eastAsia="zh-CN" w:bidi="ar"/>
            </w:rPr>
          </w:pPr>
          <w:r>
            <w:rPr>
              <w:rFonts w:hint="eastAsia" w:ascii="仿宋" w:hAnsi="仿宋" w:eastAsia="仿宋" w:cs="仿宋"/>
              <w:b/>
              <w:szCs w:val="32"/>
              <w:lang w:eastAsia="zh-CN" w:bidi="ar"/>
            </w:rPr>
            <w:fldChar w:fldCharType="end"/>
          </w:r>
        </w:p>
      </w:sdtContent>
    </w:sdt>
    <w:p>
      <w:pPr>
        <w:spacing w:line="560" w:lineRule="exact"/>
        <w:jc w:val="center"/>
        <w:rPr>
          <w:rFonts w:hint="eastAsia" w:ascii="仿宋" w:hAnsi="仿宋" w:eastAsia="仿宋" w:cs="仿宋"/>
          <w:b/>
          <w:sz w:val="32"/>
          <w:szCs w:val="32"/>
          <w:lang w:eastAsia="zh-CN" w:bidi="ar"/>
        </w:rPr>
      </w:pPr>
    </w:p>
    <w:p>
      <w:pPr>
        <w:spacing w:line="560" w:lineRule="exact"/>
        <w:jc w:val="center"/>
        <w:rPr>
          <w:rFonts w:hint="eastAsia" w:ascii="仿宋" w:hAnsi="仿宋" w:eastAsia="仿宋" w:cs="仿宋"/>
          <w:b/>
          <w:sz w:val="32"/>
          <w:szCs w:val="32"/>
          <w:lang w:eastAsia="zh-CN" w:bidi="ar"/>
        </w:rPr>
      </w:pPr>
    </w:p>
    <w:p>
      <w:pPr>
        <w:spacing w:line="560" w:lineRule="exact"/>
        <w:jc w:val="center"/>
        <w:rPr>
          <w:rFonts w:hint="eastAsia" w:ascii="仿宋" w:hAnsi="仿宋" w:eastAsia="仿宋" w:cs="仿宋"/>
          <w:b/>
          <w:sz w:val="32"/>
          <w:szCs w:val="32"/>
          <w:lang w:eastAsia="zh-CN" w:bidi="ar"/>
        </w:rPr>
      </w:pPr>
    </w:p>
    <w:p>
      <w:pPr>
        <w:spacing w:line="560" w:lineRule="exact"/>
        <w:jc w:val="center"/>
        <w:rPr>
          <w:rFonts w:hint="eastAsia" w:ascii="仿宋" w:hAnsi="仿宋" w:eastAsia="仿宋" w:cs="仿宋"/>
          <w:b/>
          <w:sz w:val="32"/>
          <w:szCs w:val="32"/>
          <w:lang w:eastAsia="zh-CN" w:bidi="ar"/>
        </w:rPr>
      </w:pPr>
    </w:p>
    <w:p>
      <w:pPr>
        <w:spacing w:line="560" w:lineRule="exact"/>
        <w:jc w:val="center"/>
        <w:rPr>
          <w:rFonts w:hint="eastAsia" w:ascii="仿宋" w:hAnsi="仿宋" w:eastAsia="仿宋" w:cs="仿宋"/>
          <w:b/>
          <w:sz w:val="32"/>
          <w:szCs w:val="32"/>
          <w:lang w:eastAsia="zh-CN" w:bidi="ar"/>
        </w:rPr>
      </w:pPr>
    </w:p>
    <w:p>
      <w:pPr>
        <w:spacing w:line="560" w:lineRule="exact"/>
        <w:jc w:val="center"/>
        <w:rPr>
          <w:rFonts w:hint="eastAsia" w:ascii="仿宋" w:hAnsi="仿宋" w:eastAsia="仿宋" w:cs="仿宋"/>
          <w:b/>
          <w:sz w:val="32"/>
          <w:szCs w:val="32"/>
          <w:lang w:eastAsia="zh-CN" w:bidi="ar"/>
        </w:rPr>
      </w:pPr>
    </w:p>
    <w:p>
      <w:pPr>
        <w:spacing w:line="560" w:lineRule="exact"/>
        <w:jc w:val="center"/>
        <w:rPr>
          <w:rFonts w:hint="eastAsia" w:ascii="仿宋" w:hAnsi="仿宋" w:eastAsia="仿宋" w:cs="仿宋"/>
          <w:b/>
          <w:sz w:val="32"/>
          <w:szCs w:val="32"/>
          <w:lang w:eastAsia="zh-CN" w:bidi="ar"/>
        </w:rPr>
      </w:pPr>
    </w:p>
    <w:p>
      <w:pPr>
        <w:spacing w:line="560" w:lineRule="exact"/>
        <w:jc w:val="center"/>
        <w:rPr>
          <w:rFonts w:hint="eastAsia" w:ascii="仿宋" w:hAnsi="仿宋" w:eastAsia="仿宋" w:cs="仿宋"/>
          <w:b/>
          <w:sz w:val="32"/>
          <w:szCs w:val="32"/>
          <w:lang w:eastAsia="zh-CN" w:bidi="ar"/>
        </w:rPr>
      </w:pPr>
    </w:p>
    <w:p>
      <w:pPr>
        <w:spacing w:line="560" w:lineRule="exact"/>
        <w:jc w:val="center"/>
        <w:rPr>
          <w:rFonts w:hint="eastAsia" w:ascii="仿宋" w:hAnsi="仿宋" w:eastAsia="仿宋" w:cs="仿宋"/>
          <w:b/>
          <w:sz w:val="32"/>
          <w:szCs w:val="32"/>
          <w:lang w:eastAsia="zh-CN" w:bidi="ar"/>
        </w:rPr>
      </w:pPr>
    </w:p>
    <w:p>
      <w:pPr>
        <w:spacing w:line="560" w:lineRule="exact"/>
        <w:jc w:val="center"/>
        <w:rPr>
          <w:rFonts w:hint="eastAsia" w:ascii="仿宋" w:hAnsi="仿宋" w:eastAsia="仿宋" w:cs="仿宋"/>
          <w:b/>
          <w:sz w:val="32"/>
          <w:szCs w:val="32"/>
          <w:lang w:eastAsia="zh-CN" w:bidi="ar"/>
        </w:rPr>
      </w:pPr>
    </w:p>
    <w:p>
      <w:pPr>
        <w:spacing w:line="560" w:lineRule="exact"/>
        <w:jc w:val="center"/>
        <w:rPr>
          <w:rFonts w:hint="eastAsia" w:ascii="仿宋" w:hAnsi="仿宋" w:eastAsia="仿宋" w:cs="仿宋"/>
          <w:b/>
          <w:sz w:val="32"/>
          <w:szCs w:val="32"/>
          <w:lang w:eastAsia="zh-CN" w:bidi="ar"/>
        </w:rPr>
        <w:sectPr>
          <w:headerReference r:id="rId4" w:type="default"/>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spacing w:line="560" w:lineRule="exact"/>
        <w:jc w:val="center"/>
        <w:outlineLvl w:val="0"/>
        <w:rPr>
          <w:rFonts w:hint="eastAsia" w:ascii="仿宋" w:hAnsi="仿宋" w:eastAsia="仿宋" w:cs="仿宋"/>
          <w:b/>
          <w:sz w:val="32"/>
          <w:szCs w:val="32"/>
          <w:lang w:eastAsia="zh-CN" w:bidi="ar"/>
        </w:rPr>
      </w:pPr>
      <w:bookmarkStart w:id="0" w:name="_Toc20124"/>
      <w:bookmarkStart w:id="1" w:name="_Toc19910_WPSOffice_Level1"/>
      <w:bookmarkStart w:id="2" w:name="_Toc23048"/>
      <w:r>
        <w:rPr>
          <w:rFonts w:hint="eastAsia" w:ascii="仿宋" w:hAnsi="仿宋" w:eastAsia="仿宋" w:cs="仿宋"/>
          <w:b/>
          <w:sz w:val="32"/>
          <w:szCs w:val="32"/>
          <w:lang w:eastAsia="zh-CN" w:bidi="ar"/>
        </w:rPr>
        <w:t>临猗县</w:t>
      </w:r>
      <w:r>
        <w:rPr>
          <w:rFonts w:hint="eastAsia" w:ascii="仿宋" w:hAnsi="仿宋" w:eastAsia="仿宋" w:cs="仿宋"/>
          <w:b/>
          <w:sz w:val="32"/>
          <w:szCs w:val="32"/>
          <w:lang w:val="en-US" w:eastAsia="zh-CN" w:bidi="ar"/>
        </w:rPr>
        <w:t>2020年国家</w:t>
      </w:r>
      <w:r>
        <w:rPr>
          <w:rFonts w:hint="eastAsia" w:ascii="仿宋" w:hAnsi="仿宋" w:eastAsia="仿宋" w:cs="仿宋"/>
          <w:b/>
          <w:sz w:val="32"/>
          <w:szCs w:val="32"/>
          <w:lang w:eastAsia="zh-CN" w:bidi="ar"/>
        </w:rPr>
        <w:t>基本公共卫生服务项目</w:t>
      </w:r>
      <w:bookmarkEnd w:id="0"/>
      <w:bookmarkEnd w:id="1"/>
      <w:bookmarkEnd w:id="2"/>
    </w:p>
    <w:p>
      <w:pPr>
        <w:spacing w:line="560" w:lineRule="exact"/>
        <w:jc w:val="center"/>
        <w:outlineLvl w:val="0"/>
        <w:rPr>
          <w:rFonts w:hint="eastAsia" w:ascii="仿宋" w:hAnsi="仿宋" w:eastAsia="仿宋" w:cs="仿宋"/>
          <w:b/>
          <w:sz w:val="32"/>
          <w:szCs w:val="32"/>
          <w:lang w:eastAsia="zh-CN" w:bidi="ar"/>
        </w:rPr>
      </w:pPr>
      <w:bookmarkStart w:id="3" w:name="_Toc5793_WPSOffice_Level1"/>
      <w:bookmarkStart w:id="4" w:name="_Toc24886"/>
      <w:bookmarkStart w:id="5" w:name="_Toc13534"/>
      <w:r>
        <w:rPr>
          <w:rFonts w:hint="eastAsia" w:ascii="仿宋" w:hAnsi="仿宋" w:eastAsia="仿宋" w:cs="仿宋"/>
          <w:b/>
          <w:sz w:val="32"/>
          <w:szCs w:val="32"/>
          <w:lang w:bidi="ar"/>
        </w:rPr>
        <w:t>绩效评价</w:t>
      </w:r>
      <w:bookmarkEnd w:id="3"/>
      <w:r>
        <w:rPr>
          <w:rFonts w:hint="eastAsia" w:ascii="仿宋" w:hAnsi="仿宋" w:eastAsia="仿宋" w:cs="仿宋"/>
          <w:b/>
          <w:sz w:val="32"/>
          <w:szCs w:val="32"/>
          <w:lang w:eastAsia="zh-CN" w:bidi="ar"/>
        </w:rPr>
        <w:t>报告</w:t>
      </w:r>
      <w:bookmarkEnd w:id="4"/>
      <w:bookmarkEnd w:id="5"/>
    </w:p>
    <w:p>
      <w:pPr>
        <w:pStyle w:val="2"/>
        <w:jc w:val="center"/>
        <w:outlineLvl w:val="0"/>
        <w:rPr>
          <w:rFonts w:hint="eastAsia" w:ascii="仿宋" w:hAnsi="仿宋" w:eastAsia="仿宋" w:cs="仿宋"/>
          <w:b/>
          <w:sz w:val="32"/>
          <w:szCs w:val="32"/>
          <w:lang w:eastAsia="zh-CN" w:bidi="ar"/>
        </w:rPr>
      </w:pPr>
      <w:bookmarkStart w:id="6" w:name="_Toc7200"/>
      <w:r>
        <w:rPr>
          <w:rFonts w:hint="eastAsia" w:ascii="仿宋" w:hAnsi="仿宋" w:eastAsia="仿宋" w:cs="仿宋"/>
          <w:b/>
          <w:sz w:val="32"/>
          <w:szCs w:val="32"/>
          <w:lang w:eastAsia="zh-CN" w:bidi="ar"/>
        </w:rPr>
        <w:t>摘要</w:t>
      </w:r>
      <w:bookmarkEnd w:id="6"/>
    </w:p>
    <w:p>
      <w:pPr>
        <w:spacing w:line="560" w:lineRule="exact"/>
        <w:ind w:firstLine="562" w:firstLineChars="200"/>
        <w:jc w:val="left"/>
        <w:outlineLvl w:val="0"/>
        <w:rPr>
          <w:rFonts w:hint="default" w:ascii="仿宋" w:hAnsi="仿宋" w:eastAsia="仿宋" w:cs="仿宋"/>
          <w:b w:val="0"/>
          <w:bCs/>
          <w:sz w:val="28"/>
          <w:szCs w:val="28"/>
          <w:highlight w:val="none"/>
          <w:lang w:val="en-US" w:eastAsia="zh-CN" w:bidi="ar"/>
        </w:rPr>
      </w:pPr>
      <w:bookmarkStart w:id="7" w:name="_Toc5882"/>
      <w:bookmarkStart w:id="8" w:name="_Toc30100"/>
      <w:r>
        <w:rPr>
          <w:rFonts w:hint="eastAsia" w:ascii="仿宋" w:hAnsi="仿宋" w:eastAsia="仿宋" w:cs="仿宋"/>
          <w:b/>
          <w:bCs w:val="0"/>
          <w:sz w:val="28"/>
          <w:szCs w:val="28"/>
          <w:highlight w:val="none"/>
          <w:lang w:val="en-US" w:eastAsia="zh-CN" w:bidi="ar"/>
        </w:rPr>
        <w:t>一、项目概况</w:t>
      </w:r>
      <w:bookmarkEnd w:id="7"/>
      <w:bookmarkEnd w:id="8"/>
    </w:p>
    <w:p>
      <w:pPr>
        <w:spacing w:line="560" w:lineRule="exact"/>
        <w:ind w:firstLine="560" w:firstLineChars="200"/>
        <w:rPr>
          <w:rFonts w:hint="eastAsia" w:ascii="仿宋" w:hAnsi="仿宋" w:eastAsia="仿宋" w:cs="仿宋"/>
          <w:bCs/>
          <w:sz w:val="28"/>
          <w:szCs w:val="28"/>
          <w:highlight w:val="none"/>
          <w:lang w:bidi="ar"/>
        </w:rPr>
      </w:pPr>
      <w:r>
        <w:rPr>
          <w:rFonts w:hint="eastAsia" w:ascii="仿宋" w:hAnsi="仿宋" w:eastAsia="仿宋" w:cs="仿宋"/>
          <w:b w:val="0"/>
          <w:bCs/>
          <w:sz w:val="28"/>
          <w:szCs w:val="28"/>
          <w:highlight w:val="none"/>
          <w:lang w:bidi="ar"/>
        </w:rPr>
        <w:t>基本公共卫生服务项目是由国家出资购买，基层医疗卫生机构具体实施</w:t>
      </w:r>
      <w:r>
        <w:rPr>
          <w:rFonts w:hint="eastAsia" w:ascii="仿宋" w:hAnsi="仿宋" w:eastAsia="仿宋" w:cs="仿宋"/>
          <w:b w:val="0"/>
          <w:bCs/>
          <w:sz w:val="28"/>
          <w:szCs w:val="28"/>
          <w:highlight w:val="none"/>
          <w:lang w:eastAsia="zh-CN" w:bidi="ar"/>
        </w:rPr>
        <w:t>，</w:t>
      </w:r>
      <w:r>
        <w:rPr>
          <w:rFonts w:hint="eastAsia" w:ascii="仿宋" w:hAnsi="仿宋" w:eastAsia="仿宋" w:cs="仿宋"/>
          <w:bCs/>
          <w:sz w:val="28"/>
          <w:szCs w:val="28"/>
          <w:highlight w:val="none"/>
          <w:lang w:eastAsia="zh-CN" w:bidi="ar"/>
        </w:rPr>
        <w:t>以儿童、孕产妇、老年人、慢性疾病患者为重点人群，面向全体居民免费提供的最基本的公共卫生服务，主要是对城乡居民健康问题实施干预措施，减少主要健康危险因素，有效预防和控制主要传染病及慢性病，提高公共卫生服务和突发公共卫生事件应急处置能力，使城乡居民逐步享有均等化的基本公共卫生服务。</w:t>
      </w:r>
    </w:p>
    <w:p>
      <w:pPr>
        <w:spacing w:line="560" w:lineRule="exact"/>
        <w:ind w:firstLine="560" w:firstLineChars="200"/>
        <w:jc w:val="left"/>
        <w:rPr>
          <w:rFonts w:hint="default" w:ascii="仿宋" w:hAnsi="仿宋" w:eastAsia="仿宋" w:cs="仿宋"/>
          <w:b w:val="0"/>
          <w:bCs/>
          <w:sz w:val="28"/>
          <w:szCs w:val="28"/>
          <w:highlight w:val="none"/>
          <w:lang w:val="en-US" w:eastAsia="zh-CN" w:bidi="ar"/>
        </w:rPr>
      </w:pPr>
      <w:r>
        <w:rPr>
          <w:rFonts w:hint="eastAsia" w:ascii="仿宋" w:hAnsi="仿宋" w:eastAsia="仿宋" w:cs="仿宋"/>
          <w:b w:val="0"/>
          <w:bCs/>
          <w:sz w:val="28"/>
          <w:szCs w:val="28"/>
          <w:highlight w:val="none"/>
          <w:lang w:val="en-US" w:eastAsia="zh-CN" w:bidi="ar"/>
        </w:rPr>
        <w:t>项目实施单位为临猗县20个乡镇卫生院、9个专业服务机构，服务对象为临猗县</w:t>
      </w:r>
      <w:r>
        <w:rPr>
          <w:rFonts w:hint="eastAsia" w:ascii="仿宋" w:hAnsi="仿宋" w:eastAsia="仿宋" w:cs="仿宋"/>
          <w:bCs/>
          <w:sz w:val="28"/>
          <w:szCs w:val="28"/>
          <w:lang w:val="en-US" w:eastAsia="zh-CN"/>
        </w:rPr>
        <w:t>59.55万常住人口</w:t>
      </w:r>
      <w:r>
        <w:rPr>
          <w:rFonts w:hint="eastAsia" w:ascii="仿宋" w:hAnsi="仿宋" w:eastAsia="仿宋" w:cs="仿宋"/>
          <w:b w:val="0"/>
          <w:bCs/>
          <w:sz w:val="28"/>
          <w:szCs w:val="28"/>
          <w:highlight w:val="none"/>
          <w:lang w:val="en-US" w:eastAsia="zh-CN" w:bidi="ar"/>
        </w:rPr>
        <w:t>。</w:t>
      </w:r>
    </w:p>
    <w:p>
      <w:pPr>
        <w:spacing w:line="560" w:lineRule="exact"/>
        <w:ind w:firstLine="560" w:firstLineChars="200"/>
        <w:rPr>
          <w:rFonts w:hint="eastAsia" w:ascii="仿宋" w:hAnsi="仿宋" w:eastAsia="仿宋" w:cs="仿宋"/>
          <w:bCs/>
          <w:sz w:val="28"/>
          <w:szCs w:val="28"/>
          <w:highlight w:val="none"/>
          <w:lang w:val="en-US" w:eastAsia="zh-CN"/>
        </w:rPr>
      </w:pPr>
      <w:r>
        <w:rPr>
          <w:rFonts w:hint="eastAsia" w:ascii="仿宋" w:hAnsi="仿宋" w:eastAsia="仿宋" w:cs="仿宋"/>
          <w:b w:val="0"/>
          <w:bCs/>
          <w:sz w:val="28"/>
          <w:szCs w:val="28"/>
          <w:highlight w:val="none"/>
          <w:lang w:val="en-US" w:eastAsia="zh-CN" w:bidi="ar"/>
        </w:rPr>
        <w:t>临猗县基本公共卫生服务项目2020年共下达资金</w:t>
      </w:r>
      <w:r>
        <w:rPr>
          <w:rFonts w:hint="eastAsia" w:ascii="仿宋" w:hAnsi="仿宋" w:eastAsia="仿宋" w:cs="仿宋"/>
          <w:bCs/>
          <w:sz w:val="28"/>
          <w:szCs w:val="28"/>
          <w:highlight w:val="none"/>
          <w:lang w:val="en-US" w:eastAsia="zh-CN" w:bidi="ar"/>
        </w:rPr>
        <w:t>4176.39</w:t>
      </w:r>
      <w:r>
        <w:rPr>
          <w:rFonts w:hint="eastAsia" w:ascii="仿宋" w:hAnsi="仿宋" w:eastAsia="仿宋" w:cs="仿宋"/>
          <w:bCs/>
          <w:sz w:val="28"/>
          <w:szCs w:val="28"/>
          <w:highlight w:val="none"/>
          <w:lang w:eastAsia="zh-CN" w:bidi="ar"/>
        </w:rPr>
        <w:t>万元</w:t>
      </w:r>
      <w:r>
        <w:rPr>
          <w:rFonts w:hint="eastAsia" w:ascii="仿宋" w:hAnsi="仿宋" w:eastAsia="仿宋" w:cs="仿宋"/>
          <w:b w:val="0"/>
          <w:bCs/>
          <w:sz w:val="28"/>
          <w:szCs w:val="28"/>
          <w:highlight w:val="none"/>
          <w:lang w:val="en-US" w:eastAsia="zh-CN" w:bidi="ar"/>
        </w:rPr>
        <w:t>，其中中央资</w:t>
      </w:r>
      <w:r>
        <w:rPr>
          <w:rFonts w:hint="eastAsia" w:ascii="仿宋" w:hAnsi="仿宋" w:eastAsia="仿宋" w:cs="仿宋"/>
          <w:bCs/>
          <w:sz w:val="28"/>
          <w:szCs w:val="28"/>
          <w:highlight w:val="none"/>
          <w:lang w:val="en-US" w:eastAsia="zh-CN"/>
        </w:rPr>
        <w:t>金2444.17万元；省级资金838.91万元；市级资金12万元；县级资金881.31万元。</w:t>
      </w:r>
    </w:p>
    <w:p>
      <w:pPr>
        <w:spacing w:line="560" w:lineRule="exact"/>
        <w:ind w:firstLine="560" w:firstLineChars="200"/>
        <w:rPr>
          <w:rFonts w:hint="eastAsia" w:ascii="仿宋" w:hAnsi="仿宋" w:eastAsia="仿宋" w:cs="仿宋"/>
          <w:bCs/>
          <w:sz w:val="28"/>
          <w:szCs w:val="28"/>
          <w:highlight w:val="yellow"/>
          <w:lang w:bidi="ar"/>
        </w:rPr>
      </w:pPr>
      <w:r>
        <w:rPr>
          <w:rFonts w:hint="eastAsia" w:ascii="仿宋" w:hAnsi="仿宋" w:eastAsia="仿宋" w:cs="仿宋"/>
          <w:b w:val="0"/>
          <w:bCs/>
          <w:sz w:val="28"/>
          <w:szCs w:val="28"/>
          <w:highlight w:val="none"/>
          <w:lang w:val="en-US" w:eastAsia="zh-CN" w:bidi="ar"/>
        </w:rPr>
        <w:t>该项目2020年</w:t>
      </w:r>
      <w:r>
        <w:rPr>
          <w:rFonts w:hint="eastAsia" w:ascii="仿宋" w:hAnsi="仿宋" w:eastAsia="仿宋" w:cs="仿宋"/>
          <w:bCs/>
          <w:sz w:val="28"/>
          <w:szCs w:val="28"/>
          <w:highlight w:val="none"/>
          <w:lang w:val="en-US" w:eastAsia="zh-CN"/>
        </w:rPr>
        <w:t>实际支付完成</w:t>
      </w:r>
      <w:r>
        <w:rPr>
          <w:rFonts w:hint="eastAsia" w:ascii="仿宋" w:hAnsi="仿宋" w:eastAsia="仿宋" w:cs="仿宋"/>
          <w:bCs/>
          <w:sz w:val="28"/>
          <w:szCs w:val="28"/>
          <w:highlight w:val="none"/>
          <w:lang w:val="en-US" w:eastAsia="zh-CN" w:bidi="ar"/>
        </w:rPr>
        <w:t>3673.92万元，结余资金502.5万</w:t>
      </w:r>
      <w:r>
        <w:rPr>
          <w:rFonts w:hint="eastAsia" w:ascii="仿宋" w:hAnsi="仿宋" w:eastAsia="仿宋" w:cs="仿宋"/>
          <w:bCs/>
          <w:sz w:val="28"/>
          <w:szCs w:val="28"/>
          <w:highlight w:val="none"/>
          <w:lang w:val="en-US" w:eastAsia="zh-CN"/>
        </w:rPr>
        <w:t>元。主要用于</w:t>
      </w:r>
      <w:r>
        <w:rPr>
          <w:rFonts w:hint="default" w:ascii="仿宋" w:hAnsi="仿宋" w:eastAsia="仿宋" w:cs="仿宋"/>
          <w:b w:val="0"/>
          <w:bCs/>
          <w:sz w:val="28"/>
          <w:szCs w:val="28"/>
          <w:highlight w:val="none"/>
          <w:lang w:val="en-US" w:eastAsia="zh-CN" w:bidi="ar"/>
        </w:rPr>
        <w:t>支持建立居民健康档案管理、健康教育、预防接种、儿童健康管理、孕产妇健康管理、老年人健康管理、慢性病管理（高血压、2型糖尿病）、严重精神障碍患者管理、结核病患者健康管理、中医药健康管理</w:t>
      </w:r>
      <w:r>
        <w:rPr>
          <w:rFonts w:hint="eastAsia" w:ascii="仿宋" w:hAnsi="仿宋" w:eastAsia="仿宋" w:cs="仿宋"/>
          <w:b w:val="0"/>
          <w:bCs/>
          <w:sz w:val="28"/>
          <w:szCs w:val="28"/>
          <w:highlight w:val="none"/>
          <w:lang w:val="en-US" w:eastAsia="zh-CN" w:bidi="ar"/>
        </w:rPr>
        <w:t>等原12项基本公卫项目；和</w:t>
      </w:r>
      <w:r>
        <w:rPr>
          <w:rFonts w:hint="eastAsia" w:ascii="仿宋" w:hAnsi="仿宋" w:eastAsia="仿宋" w:cs="仿宋"/>
          <w:bCs/>
          <w:sz w:val="28"/>
          <w:szCs w:val="28"/>
          <w:highlight w:val="none"/>
          <w:lang w:val="en-US" w:eastAsia="zh-CN"/>
        </w:rPr>
        <w:t>2019年新划入的原重大公共卫生服务和计划生育项目中的妇幼卫生、老年健康服务、医养结合、卫生应急、孕前检查等内容。</w:t>
      </w:r>
    </w:p>
    <w:p>
      <w:pPr>
        <w:pStyle w:val="31"/>
        <w:spacing w:line="560" w:lineRule="exact"/>
        <w:ind w:firstLine="562"/>
        <w:outlineLvl w:val="0"/>
        <w:rPr>
          <w:rFonts w:hint="default" w:ascii="仿宋" w:hAnsi="仿宋" w:eastAsia="仿宋"/>
          <w:b/>
          <w:lang w:val="en-US"/>
        </w:rPr>
      </w:pPr>
      <w:bookmarkStart w:id="9" w:name="_Toc3260"/>
      <w:bookmarkStart w:id="10" w:name="_Toc4777"/>
      <w:r>
        <w:rPr>
          <w:rFonts w:hint="eastAsia" w:ascii="仿宋" w:hAnsi="仿宋" w:eastAsia="仿宋"/>
          <w:b/>
          <w:lang w:val="en-US" w:eastAsia="zh-CN"/>
        </w:rPr>
        <w:t>二</w:t>
      </w:r>
      <w:r>
        <w:rPr>
          <w:rFonts w:hint="eastAsia" w:ascii="仿宋" w:hAnsi="仿宋" w:eastAsia="仿宋"/>
          <w:b/>
        </w:rPr>
        <w:t>、</w:t>
      </w:r>
      <w:bookmarkEnd w:id="9"/>
      <w:bookmarkEnd w:id="10"/>
      <w:r>
        <w:rPr>
          <w:rFonts w:hint="eastAsia" w:ascii="仿宋" w:hAnsi="仿宋" w:eastAsia="仿宋"/>
          <w:b/>
          <w:lang w:val="en-US" w:eastAsia="zh-CN"/>
        </w:rPr>
        <w:t>评价结果</w:t>
      </w:r>
    </w:p>
    <w:p>
      <w:pPr>
        <w:pStyle w:val="31"/>
        <w:spacing w:line="560" w:lineRule="exact"/>
        <w:ind w:firstLine="560"/>
        <w:rPr>
          <w:rFonts w:hint="default" w:ascii="仿宋" w:hAnsi="仿宋" w:eastAsia="仿宋"/>
          <w:b/>
          <w:bCs/>
          <w:lang w:val="en-US" w:eastAsia="zh-CN"/>
        </w:rPr>
      </w:pPr>
      <w:r>
        <w:rPr>
          <w:rFonts w:hint="eastAsia" w:ascii="仿宋" w:hAnsi="仿宋" w:eastAsia="仿宋"/>
          <w:b/>
          <w:bCs/>
          <w:lang w:eastAsia="zh-CN"/>
        </w:rPr>
        <w:t>（</w:t>
      </w:r>
      <w:r>
        <w:rPr>
          <w:rFonts w:hint="eastAsia" w:ascii="仿宋" w:hAnsi="仿宋" w:eastAsia="仿宋"/>
          <w:b/>
          <w:bCs/>
          <w:lang w:val="en-US" w:eastAsia="zh-CN"/>
        </w:rPr>
        <w:t>一）总体评分情况</w:t>
      </w:r>
    </w:p>
    <w:p>
      <w:pPr>
        <w:pStyle w:val="31"/>
        <w:spacing w:line="560" w:lineRule="exact"/>
        <w:ind w:firstLine="560"/>
        <w:rPr>
          <w:rFonts w:ascii="仿宋" w:hAnsi="仿宋" w:eastAsia="仿宋"/>
        </w:rPr>
      </w:pPr>
      <w:r>
        <w:rPr>
          <w:rFonts w:hint="eastAsia" w:ascii="仿宋" w:hAnsi="仿宋" w:eastAsia="仿宋"/>
        </w:rPr>
        <w:t>绩效评价项目组通过实施数据采集、现场核查、问卷调查、重点访谈、汇总分析等程序，依据相关文件和经审定的评价指标体系及评分标准，对</w:t>
      </w:r>
      <w:r>
        <w:rPr>
          <w:rFonts w:hint="eastAsia" w:ascii="仿宋" w:hAnsi="仿宋" w:eastAsia="仿宋"/>
          <w:lang w:val="en-US" w:eastAsia="zh-CN"/>
        </w:rPr>
        <w:t>临猗县基本公共卫生项目</w:t>
      </w:r>
      <w:r>
        <w:rPr>
          <w:rFonts w:hint="eastAsia" w:ascii="仿宋" w:hAnsi="仿宋" w:eastAsia="仿宋"/>
        </w:rPr>
        <w:t>绩效进行客观评价，最终结果为：总得分</w:t>
      </w:r>
      <w:r>
        <w:rPr>
          <w:rFonts w:hint="eastAsia" w:ascii="仿宋" w:hAnsi="仿宋" w:eastAsia="仿宋"/>
          <w:highlight w:val="none"/>
        </w:rPr>
        <w:t>为</w:t>
      </w:r>
      <w:r>
        <w:rPr>
          <w:rFonts w:hint="eastAsia" w:ascii="仿宋" w:hAnsi="仿宋" w:eastAsia="仿宋"/>
          <w:highlight w:val="none"/>
          <w:lang w:val="en-US" w:eastAsia="zh-CN"/>
        </w:rPr>
        <w:t>71.731</w:t>
      </w:r>
      <w:r>
        <w:rPr>
          <w:rFonts w:hint="eastAsia" w:ascii="仿宋" w:hAnsi="仿宋" w:eastAsia="仿宋"/>
          <w:highlight w:val="none"/>
        </w:rPr>
        <w:t>分，绩效评级为“</w:t>
      </w:r>
      <w:r>
        <w:rPr>
          <w:rFonts w:hint="eastAsia" w:ascii="仿宋" w:hAnsi="仿宋" w:eastAsia="仿宋"/>
          <w:highlight w:val="none"/>
          <w:lang w:eastAsia="zh-CN"/>
        </w:rPr>
        <w:t>中</w:t>
      </w:r>
      <w:r>
        <w:rPr>
          <w:rFonts w:hint="eastAsia" w:ascii="仿宋" w:hAnsi="仿宋" w:eastAsia="仿宋"/>
          <w:highlight w:val="none"/>
        </w:rPr>
        <w:t>”，各指标详</w:t>
      </w:r>
      <w:r>
        <w:rPr>
          <w:rFonts w:hint="eastAsia" w:ascii="仿宋" w:hAnsi="仿宋" w:eastAsia="仿宋"/>
        </w:rPr>
        <w:t>细打分情况见附件1。具体得分情况见下表：</w:t>
      </w:r>
    </w:p>
    <w:p>
      <w:pPr>
        <w:pStyle w:val="32"/>
        <w:framePr w:wrap="auto" w:vAnchor="margin" w:hAnchor="text" w:yAlign="inline"/>
        <w:adjustRightInd w:val="0"/>
        <w:snapToGrid w:val="0"/>
        <w:spacing w:line="560" w:lineRule="exact"/>
        <w:ind w:firstLine="0"/>
        <w:jc w:val="center"/>
        <w:rPr>
          <w:rFonts w:ascii="仿宋" w:hAnsi="仿宋" w:eastAsia="仿宋" w:cs="楷体_GB2312"/>
          <w:b/>
          <w:bCs/>
          <w:color w:val="auto"/>
          <w:szCs w:val="24"/>
          <w:lang w:val="zh-TW"/>
        </w:rPr>
      </w:pPr>
      <w:r>
        <w:rPr>
          <w:rFonts w:hint="eastAsia" w:ascii="仿宋" w:hAnsi="仿宋" w:eastAsia="仿宋" w:cs="楷体_GB2312"/>
          <w:b/>
          <w:bCs/>
          <w:color w:val="auto"/>
          <w:szCs w:val="24"/>
          <w:lang w:val="zh-TW"/>
        </w:rPr>
        <w:t xml:space="preserve"> </w:t>
      </w:r>
      <w:r>
        <w:rPr>
          <w:rFonts w:hint="eastAsia" w:ascii="仿宋" w:hAnsi="仿宋" w:eastAsia="仿宋" w:cs="楷体_GB2312"/>
          <w:b/>
          <w:bCs/>
          <w:color w:val="auto"/>
          <w:szCs w:val="24"/>
          <w:lang w:val="zh-TW" w:eastAsia="zh-TW"/>
        </w:rPr>
        <w:t>项目绩效评价得分表</w:t>
      </w:r>
    </w:p>
    <w:tbl>
      <w:tblPr>
        <w:tblStyle w:val="14"/>
        <w:tblW w:w="8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4"/>
        <w:gridCol w:w="1379"/>
        <w:gridCol w:w="1218"/>
        <w:gridCol w:w="1218"/>
        <w:gridCol w:w="1218"/>
        <w:gridCol w:w="15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24" w:type="dxa"/>
            <w:shd w:val="clear" w:color="auto" w:fill="B3B3B3"/>
            <w:vAlign w:val="center"/>
          </w:tcPr>
          <w:p>
            <w:pPr>
              <w:widowControl/>
              <w:snapToGrid w:val="0"/>
              <w:spacing w:line="0" w:lineRule="atLeast"/>
              <w:jc w:val="center"/>
              <w:rPr>
                <w:rFonts w:ascii="仿宋" w:hAnsi="仿宋" w:eastAsia="仿宋" w:cs="仿宋"/>
                <w:sz w:val="24"/>
              </w:rPr>
            </w:pPr>
            <w:r>
              <w:rPr>
                <w:rFonts w:hint="eastAsia" w:ascii="仿宋" w:hAnsi="仿宋" w:eastAsia="仿宋" w:cs="仿宋"/>
                <w:b/>
                <w:bCs/>
                <w:kern w:val="0"/>
                <w:sz w:val="24"/>
                <w:lang w:val="zh-TW" w:eastAsia="zh-TW"/>
              </w:rPr>
              <w:t>指标</w:t>
            </w:r>
          </w:p>
        </w:tc>
        <w:tc>
          <w:tcPr>
            <w:tcW w:w="1379" w:type="dxa"/>
            <w:shd w:val="clear" w:color="auto" w:fill="B3B3B3"/>
            <w:vAlign w:val="center"/>
          </w:tcPr>
          <w:p>
            <w:pPr>
              <w:widowControl/>
              <w:snapToGrid w:val="0"/>
              <w:spacing w:line="0" w:lineRule="atLeast"/>
              <w:jc w:val="center"/>
              <w:rPr>
                <w:rFonts w:hint="default" w:ascii="仿宋" w:hAnsi="仿宋" w:eastAsia="仿宋" w:cs="仿宋"/>
                <w:b/>
                <w:bCs/>
                <w:kern w:val="0"/>
                <w:sz w:val="24"/>
                <w:lang w:val="en-US" w:eastAsia="zh-CN"/>
              </w:rPr>
            </w:pPr>
            <w:r>
              <w:rPr>
                <w:rFonts w:hint="eastAsia" w:ascii="仿宋" w:hAnsi="仿宋" w:eastAsia="仿宋" w:cs="仿宋"/>
                <w:b/>
                <w:bCs/>
                <w:kern w:val="0"/>
                <w:sz w:val="24"/>
                <w:lang w:val="en-US" w:eastAsia="zh-CN"/>
              </w:rPr>
              <w:t>决策</w:t>
            </w:r>
          </w:p>
        </w:tc>
        <w:tc>
          <w:tcPr>
            <w:tcW w:w="1218" w:type="dxa"/>
            <w:shd w:val="clear" w:color="auto" w:fill="B3B3B3"/>
            <w:vAlign w:val="center"/>
          </w:tcPr>
          <w:p>
            <w:pPr>
              <w:widowControl/>
              <w:snapToGrid w:val="0"/>
              <w:spacing w:line="0" w:lineRule="atLeast"/>
              <w:jc w:val="center"/>
              <w:rPr>
                <w:rFonts w:ascii="仿宋" w:hAnsi="仿宋" w:eastAsia="仿宋" w:cs="仿宋"/>
                <w:b/>
                <w:bCs/>
                <w:kern w:val="0"/>
                <w:sz w:val="24"/>
                <w:lang w:val="zh-TW"/>
              </w:rPr>
            </w:pPr>
            <w:r>
              <w:rPr>
                <w:rFonts w:hint="eastAsia" w:ascii="仿宋" w:hAnsi="仿宋" w:eastAsia="仿宋" w:cs="仿宋"/>
                <w:b/>
                <w:bCs/>
                <w:kern w:val="0"/>
                <w:sz w:val="24"/>
                <w:lang w:val="zh-TW"/>
              </w:rPr>
              <w:t>过程</w:t>
            </w:r>
          </w:p>
        </w:tc>
        <w:tc>
          <w:tcPr>
            <w:tcW w:w="1218" w:type="dxa"/>
            <w:shd w:val="clear" w:color="auto" w:fill="B3B3B3"/>
            <w:vAlign w:val="center"/>
          </w:tcPr>
          <w:p>
            <w:pPr>
              <w:widowControl/>
              <w:snapToGrid w:val="0"/>
              <w:spacing w:line="0" w:lineRule="atLeast"/>
              <w:jc w:val="center"/>
              <w:rPr>
                <w:rFonts w:ascii="仿宋" w:hAnsi="仿宋" w:eastAsia="仿宋" w:cs="仿宋"/>
                <w:b/>
                <w:bCs/>
                <w:kern w:val="0"/>
                <w:sz w:val="24"/>
                <w:lang w:val="zh-TW"/>
              </w:rPr>
            </w:pPr>
            <w:r>
              <w:rPr>
                <w:rFonts w:hint="eastAsia" w:ascii="仿宋" w:hAnsi="仿宋" w:eastAsia="仿宋" w:cs="仿宋"/>
                <w:b/>
                <w:bCs/>
                <w:kern w:val="0"/>
                <w:sz w:val="24"/>
                <w:lang w:val="zh-TW"/>
              </w:rPr>
              <w:t>产出</w:t>
            </w:r>
          </w:p>
        </w:tc>
        <w:tc>
          <w:tcPr>
            <w:tcW w:w="1218" w:type="dxa"/>
            <w:shd w:val="clear" w:color="auto" w:fill="B3B3B3"/>
            <w:vAlign w:val="center"/>
          </w:tcPr>
          <w:p>
            <w:pPr>
              <w:widowControl/>
              <w:snapToGrid w:val="0"/>
              <w:spacing w:line="0" w:lineRule="atLeast"/>
              <w:jc w:val="center"/>
              <w:rPr>
                <w:rFonts w:ascii="仿宋" w:hAnsi="仿宋" w:eastAsia="仿宋" w:cs="仿宋"/>
                <w:b/>
                <w:bCs/>
                <w:kern w:val="0"/>
                <w:sz w:val="24"/>
                <w:lang w:val="zh-TW"/>
              </w:rPr>
            </w:pPr>
            <w:r>
              <w:rPr>
                <w:rFonts w:hint="eastAsia" w:ascii="仿宋" w:hAnsi="仿宋" w:eastAsia="仿宋" w:cs="仿宋"/>
                <w:b/>
                <w:bCs/>
                <w:kern w:val="0"/>
                <w:sz w:val="24"/>
                <w:lang w:val="zh-TW"/>
              </w:rPr>
              <w:t>效益</w:t>
            </w:r>
          </w:p>
        </w:tc>
        <w:tc>
          <w:tcPr>
            <w:tcW w:w="1503" w:type="dxa"/>
            <w:shd w:val="clear" w:color="auto" w:fill="B3B3B3"/>
            <w:vAlign w:val="center"/>
          </w:tcPr>
          <w:p>
            <w:pPr>
              <w:widowControl/>
              <w:snapToGrid w:val="0"/>
              <w:spacing w:line="0" w:lineRule="atLeast"/>
              <w:jc w:val="center"/>
              <w:rPr>
                <w:rFonts w:ascii="仿宋" w:hAnsi="仿宋" w:eastAsia="仿宋" w:cs="仿宋"/>
                <w:b/>
                <w:bCs/>
                <w:kern w:val="0"/>
                <w:sz w:val="24"/>
                <w:lang w:val="zh-TW" w:eastAsia="zh-TW"/>
              </w:rPr>
            </w:pPr>
            <w:r>
              <w:rPr>
                <w:rFonts w:hint="eastAsia" w:ascii="仿宋" w:hAnsi="仿宋" w:eastAsia="仿宋" w:cs="仿宋"/>
                <w:b/>
                <w:bCs/>
                <w:kern w:val="0"/>
                <w:sz w:val="24"/>
                <w:lang w:val="zh-TW" w:eastAsia="zh-TW"/>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24" w:type="dxa"/>
            <w:vAlign w:val="center"/>
          </w:tcPr>
          <w:p>
            <w:pPr>
              <w:widowControl/>
              <w:snapToGrid w:val="0"/>
              <w:spacing w:line="0" w:lineRule="atLeast"/>
              <w:jc w:val="center"/>
              <w:rPr>
                <w:rFonts w:ascii="仿宋" w:hAnsi="仿宋" w:eastAsia="仿宋" w:cs="仿宋"/>
                <w:sz w:val="24"/>
              </w:rPr>
            </w:pPr>
            <w:r>
              <w:rPr>
                <w:rFonts w:hint="eastAsia" w:ascii="仿宋" w:hAnsi="仿宋" w:eastAsia="仿宋" w:cs="仿宋"/>
                <w:b/>
                <w:bCs/>
                <w:kern w:val="0"/>
                <w:sz w:val="24"/>
                <w:lang w:val="zh-TW" w:eastAsia="zh-TW"/>
              </w:rPr>
              <w:t>权重</w:t>
            </w:r>
          </w:p>
        </w:tc>
        <w:tc>
          <w:tcPr>
            <w:tcW w:w="1379"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8.00</w:t>
            </w:r>
          </w:p>
        </w:tc>
        <w:tc>
          <w:tcPr>
            <w:tcW w:w="1218"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24.00</w:t>
            </w:r>
          </w:p>
        </w:tc>
        <w:tc>
          <w:tcPr>
            <w:tcW w:w="1218"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40.00</w:t>
            </w:r>
          </w:p>
        </w:tc>
        <w:tc>
          <w:tcPr>
            <w:tcW w:w="1218"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28.00</w:t>
            </w:r>
          </w:p>
        </w:tc>
        <w:tc>
          <w:tcPr>
            <w:tcW w:w="1503" w:type="dxa"/>
            <w:vAlign w:val="center"/>
          </w:tcPr>
          <w:p>
            <w:pPr>
              <w:widowControl/>
              <w:snapToGrid w:val="0"/>
              <w:spacing w:line="0" w:lineRule="atLeast"/>
              <w:ind w:right="189" w:rightChars="90"/>
              <w:jc w:val="right"/>
              <w:rPr>
                <w:rFonts w:ascii="仿宋" w:hAnsi="仿宋" w:eastAsia="仿宋" w:cs="仿宋"/>
                <w:sz w:val="24"/>
                <w:highlight w:val="none"/>
              </w:rPr>
            </w:pPr>
            <w:r>
              <w:rPr>
                <w:rFonts w:hint="eastAsia" w:ascii="仿宋" w:hAnsi="仿宋" w:eastAsia="仿宋" w:cs="仿宋"/>
                <w:sz w:val="24"/>
                <w:highlight w:val="none"/>
              </w:rPr>
              <w:t>1</w:t>
            </w:r>
            <w:r>
              <w:rPr>
                <w:rFonts w:ascii="仿宋" w:hAnsi="仿宋" w:eastAsia="仿宋" w:cs="仿宋"/>
                <w:sz w:val="24"/>
                <w:highlight w:val="none"/>
              </w:rPr>
              <w:t>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24" w:type="dxa"/>
            <w:vAlign w:val="center"/>
          </w:tcPr>
          <w:p>
            <w:pPr>
              <w:widowControl/>
              <w:snapToGrid w:val="0"/>
              <w:spacing w:line="0" w:lineRule="atLeast"/>
              <w:jc w:val="center"/>
              <w:rPr>
                <w:rFonts w:ascii="仿宋" w:hAnsi="仿宋" w:eastAsia="仿宋" w:cs="仿宋"/>
                <w:sz w:val="24"/>
              </w:rPr>
            </w:pPr>
            <w:r>
              <w:rPr>
                <w:rFonts w:hint="eastAsia" w:ascii="仿宋" w:hAnsi="仿宋" w:eastAsia="仿宋" w:cs="仿宋"/>
                <w:b/>
                <w:bCs/>
                <w:kern w:val="0"/>
                <w:sz w:val="24"/>
                <w:lang w:val="zh-TW" w:eastAsia="zh-TW"/>
              </w:rPr>
              <w:t>分值</w:t>
            </w:r>
          </w:p>
        </w:tc>
        <w:tc>
          <w:tcPr>
            <w:tcW w:w="1379"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6.00</w:t>
            </w:r>
          </w:p>
        </w:tc>
        <w:tc>
          <w:tcPr>
            <w:tcW w:w="1218"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17.58</w:t>
            </w:r>
          </w:p>
        </w:tc>
        <w:tc>
          <w:tcPr>
            <w:tcW w:w="1218"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28.007</w:t>
            </w:r>
          </w:p>
        </w:tc>
        <w:tc>
          <w:tcPr>
            <w:tcW w:w="1218"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20.144</w:t>
            </w:r>
          </w:p>
        </w:tc>
        <w:tc>
          <w:tcPr>
            <w:tcW w:w="1503"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71.731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24" w:type="dxa"/>
            <w:vAlign w:val="center"/>
          </w:tcPr>
          <w:p>
            <w:pPr>
              <w:widowControl/>
              <w:snapToGrid w:val="0"/>
              <w:spacing w:line="0" w:lineRule="atLeast"/>
              <w:jc w:val="center"/>
              <w:rPr>
                <w:rFonts w:ascii="仿宋" w:hAnsi="仿宋" w:eastAsia="仿宋" w:cs="仿宋"/>
                <w:sz w:val="24"/>
              </w:rPr>
            </w:pPr>
            <w:r>
              <w:rPr>
                <w:rFonts w:hint="eastAsia" w:ascii="仿宋" w:hAnsi="仿宋" w:eastAsia="仿宋" w:cs="仿宋"/>
                <w:b/>
                <w:bCs/>
                <w:kern w:val="0"/>
                <w:sz w:val="24"/>
                <w:lang w:val="zh-TW" w:eastAsia="zh-TW"/>
              </w:rPr>
              <w:t>得分率</w:t>
            </w:r>
          </w:p>
        </w:tc>
        <w:tc>
          <w:tcPr>
            <w:tcW w:w="1379" w:type="dxa"/>
            <w:vAlign w:val="center"/>
          </w:tcPr>
          <w:p>
            <w:pPr>
              <w:widowControl/>
              <w:snapToGrid w:val="0"/>
              <w:spacing w:line="0" w:lineRule="atLeast"/>
              <w:ind w:right="189" w:rightChars="90"/>
              <w:jc w:val="righ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75.00%</w:t>
            </w:r>
          </w:p>
        </w:tc>
        <w:tc>
          <w:tcPr>
            <w:tcW w:w="1218" w:type="dxa"/>
            <w:vAlign w:val="center"/>
          </w:tcPr>
          <w:p>
            <w:pPr>
              <w:widowControl/>
              <w:snapToGrid w:val="0"/>
              <w:spacing w:line="0" w:lineRule="atLeast"/>
              <w:ind w:right="189" w:rightChars="90"/>
              <w:jc w:val="righ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73.25%</w:t>
            </w:r>
          </w:p>
        </w:tc>
        <w:tc>
          <w:tcPr>
            <w:tcW w:w="1218" w:type="dxa"/>
            <w:vAlign w:val="center"/>
          </w:tcPr>
          <w:p>
            <w:pPr>
              <w:widowControl/>
              <w:snapToGrid w:val="0"/>
              <w:spacing w:line="0" w:lineRule="atLeast"/>
              <w:ind w:right="189" w:rightChars="90"/>
              <w:jc w:val="righ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70.02%</w:t>
            </w:r>
          </w:p>
        </w:tc>
        <w:tc>
          <w:tcPr>
            <w:tcW w:w="1218" w:type="dxa"/>
            <w:vAlign w:val="center"/>
          </w:tcPr>
          <w:p>
            <w:pPr>
              <w:widowControl/>
              <w:snapToGrid w:val="0"/>
              <w:spacing w:line="0" w:lineRule="atLeast"/>
              <w:ind w:right="189" w:rightChars="90"/>
              <w:jc w:val="righ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71.94%</w:t>
            </w:r>
          </w:p>
        </w:tc>
        <w:tc>
          <w:tcPr>
            <w:tcW w:w="1503" w:type="dxa"/>
            <w:vAlign w:val="center"/>
          </w:tcPr>
          <w:p>
            <w:pPr>
              <w:widowControl/>
              <w:snapToGrid w:val="0"/>
              <w:spacing w:line="0" w:lineRule="atLeast"/>
              <w:ind w:right="189" w:rightChars="90"/>
              <w:jc w:val="righ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71.731%</w:t>
            </w:r>
          </w:p>
        </w:tc>
      </w:tr>
    </w:tbl>
    <w:p>
      <w:pPr>
        <w:pStyle w:val="31"/>
        <w:spacing w:line="560" w:lineRule="exact"/>
        <w:ind w:firstLine="562"/>
        <w:rPr>
          <w:rFonts w:ascii="仿宋" w:hAnsi="仿宋" w:eastAsia="仿宋"/>
          <w:b/>
          <w:highlight w:val="none"/>
        </w:rPr>
      </w:pPr>
      <w:r>
        <w:rPr>
          <w:rFonts w:hint="eastAsia" w:ascii="仿宋" w:hAnsi="仿宋" w:eastAsia="仿宋"/>
          <w:b/>
          <w:highlight w:val="none"/>
        </w:rPr>
        <w:t>（二）评价结论</w:t>
      </w:r>
    </w:p>
    <w:p>
      <w:pPr>
        <w:spacing w:line="560" w:lineRule="exact"/>
        <w:ind w:firstLine="560" w:firstLineChars="200"/>
        <w:outlineLvl w:val="0"/>
        <w:rPr>
          <w:rFonts w:hint="eastAsia" w:ascii="仿宋" w:hAnsi="仿宋" w:eastAsia="仿宋"/>
          <w:b w:val="0"/>
          <w:bCs/>
          <w:sz w:val="28"/>
          <w:szCs w:val="28"/>
          <w:highlight w:val="none"/>
          <w:lang w:val="en-US" w:eastAsia="zh-CN"/>
        </w:rPr>
      </w:pPr>
      <w:bookmarkStart w:id="11" w:name="_Toc20472"/>
      <w:bookmarkStart w:id="12" w:name="_Toc9983"/>
      <w:r>
        <w:rPr>
          <w:rFonts w:ascii="仿宋" w:hAnsi="仿宋" w:eastAsia="仿宋" w:cs="仿宋"/>
          <w:i w:val="0"/>
          <w:caps w:val="0"/>
          <w:color w:val="000000"/>
          <w:spacing w:val="0"/>
          <w:sz w:val="28"/>
          <w:szCs w:val="28"/>
          <w:highlight w:val="none"/>
        </w:rPr>
        <w:t>经过资料收集、现场勘查以及评价分析等评价程序，我们认为</w:t>
      </w:r>
      <w:r>
        <w:rPr>
          <w:rFonts w:hint="eastAsia" w:ascii="仿宋" w:hAnsi="仿宋" w:eastAsia="仿宋" w:cs="仿宋"/>
          <w:i w:val="0"/>
          <w:caps w:val="0"/>
          <w:color w:val="000000"/>
          <w:spacing w:val="0"/>
          <w:sz w:val="28"/>
          <w:szCs w:val="28"/>
          <w:highlight w:val="none"/>
          <w:lang w:val="en-US" w:eastAsia="zh-CN"/>
        </w:rPr>
        <w:t>临猗县</w:t>
      </w:r>
      <w:r>
        <w:rPr>
          <w:rFonts w:hint="eastAsia" w:ascii="仿宋" w:hAnsi="仿宋" w:eastAsia="仿宋"/>
          <w:b w:val="0"/>
          <w:bCs/>
          <w:sz w:val="28"/>
          <w:szCs w:val="28"/>
          <w:highlight w:val="none"/>
          <w:lang w:val="en-US" w:eastAsia="zh-CN"/>
        </w:rPr>
        <w:t>2020年基本公卫项目能按照项目实施方案开展具体工作，项目实施基本符合国家相关规范要求，项目监督考核有效，项目效益发挥明显，基本能达到预期目标，但在项目服务质量、项目政策知晓度、项目管理、基层公卫人员配置等方面需要进一步完善。</w:t>
      </w:r>
    </w:p>
    <w:p>
      <w:pPr>
        <w:pStyle w:val="31"/>
        <w:spacing w:line="560" w:lineRule="exact"/>
        <w:ind w:firstLine="562"/>
        <w:rPr>
          <w:rFonts w:hint="eastAsia" w:ascii="仿宋" w:hAnsi="仿宋" w:eastAsia="仿宋" w:cs="仿宋"/>
          <w:bCs/>
          <w:sz w:val="28"/>
          <w:szCs w:val="28"/>
          <w:highlight w:val="none"/>
          <w:lang w:bidi="ar"/>
        </w:rPr>
      </w:pPr>
      <w:r>
        <w:rPr>
          <w:rFonts w:hint="eastAsia" w:ascii="仿宋" w:hAnsi="仿宋" w:eastAsia="仿宋"/>
          <w:b w:val="0"/>
          <w:bCs/>
          <w:sz w:val="28"/>
          <w:szCs w:val="28"/>
          <w:highlight w:val="none"/>
          <w:lang w:val="en-US" w:eastAsia="zh-CN"/>
        </w:rPr>
        <w:t>整体来看，2020年基本公卫项目的实施，进一步提升了辖区居民的健康管理意识；能够更加规范有效的管理老年人、妇女、儿童等重点人群；有效完成辖区内新冠肺炎疫情的管理、登记、报告及处置工作；并且通过对项目政策持续宣传，使项目服务目标群体不断增长，</w:t>
      </w:r>
      <w:r>
        <w:rPr>
          <w:rFonts w:hint="eastAsia" w:ascii="仿宋" w:hAnsi="仿宋" w:eastAsia="仿宋" w:cs="仿宋"/>
          <w:bCs/>
          <w:sz w:val="28"/>
          <w:szCs w:val="28"/>
          <w:highlight w:val="none"/>
          <w:lang w:val="en-US" w:eastAsia="zh-CN" w:bidi="ar"/>
        </w:rPr>
        <w:t>对实现“</w:t>
      </w:r>
      <w:r>
        <w:rPr>
          <w:rFonts w:hint="eastAsia" w:ascii="仿宋" w:hAnsi="仿宋" w:eastAsia="仿宋" w:cs="仿宋"/>
          <w:bCs/>
          <w:sz w:val="28"/>
          <w:szCs w:val="28"/>
          <w:highlight w:val="none"/>
          <w:lang w:bidi="ar"/>
        </w:rPr>
        <w:t>基本公共卫生服务逐步均等化的机制基本完善，重大疾病和主要健康危险因素得到有效控制，城乡居民健康水平得到进一步提高</w:t>
      </w:r>
      <w:r>
        <w:rPr>
          <w:rFonts w:hint="eastAsia" w:ascii="仿宋" w:hAnsi="仿宋" w:eastAsia="仿宋" w:cs="仿宋"/>
          <w:bCs/>
          <w:sz w:val="28"/>
          <w:szCs w:val="28"/>
          <w:highlight w:val="none"/>
          <w:lang w:eastAsia="zh-CN" w:bidi="ar"/>
        </w:rPr>
        <w:t>”</w:t>
      </w:r>
      <w:r>
        <w:rPr>
          <w:rFonts w:hint="eastAsia" w:ascii="仿宋" w:hAnsi="仿宋" w:eastAsia="仿宋" w:cs="仿宋"/>
          <w:bCs/>
          <w:sz w:val="28"/>
          <w:szCs w:val="28"/>
          <w:highlight w:val="none"/>
          <w:lang w:val="en-US" w:eastAsia="zh-CN" w:bidi="ar"/>
        </w:rPr>
        <w:t>的目标起到了扎实的推动作用</w:t>
      </w:r>
      <w:r>
        <w:rPr>
          <w:rFonts w:hint="eastAsia" w:ascii="仿宋" w:hAnsi="仿宋" w:eastAsia="仿宋" w:cs="仿宋"/>
          <w:bCs/>
          <w:sz w:val="28"/>
          <w:szCs w:val="28"/>
          <w:highlight w:val="none"/>
          <w:lang w:bidi="ar"/>
        </w:rPr>
        <w:t>。</w:t>
      </w:r>
    </w:p>
    <w:p>
      <w:pPr>
        <w:numPr>
          <w:ilvl w:val="0"/>
          <w:numId w:val="0"/>
        </w:numPr>
        <w:adjustRightInd w:val="0"/>
        <w:snapToGrid w:val="0"/>
        <w:spacing w:line="560" w:lineRule="exact"/>
        <w:ind w:firstLine="562" w:firstLineChars="200"/>
        <w:outlineLvl w:val="0"/>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三、项目主要经验做法</w:t>
      </w:r>
      <w:bookmarkEnd w:id="11"/>
      <w:bookmarkEnd w:id="12"/>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60" w:lineRule="exact"/>
        <w:ind w:left="0" w:right="0" w:firstLine="560"/>
        <w:jc w:val="both"/>
        <w:textAlignment w:val="auto"/>
        <w:rPr>
          <w:rFonts w:hint="eastAsia" w:ascii="仿宋" w:hAnsi="仿宋" w:eastAsia="仿宋" w:cs="仿宋"/>
          <w:i w:val="0"/>
          <w:caps w:val="0"/>
          <w:color w:val="333333"/>
          <w:spacing w:val="0"/>
          <w:sz w:val="28"/>
          <w:szCs w:val="28"/>
        </w:rPr>
      </w:pPr>
      <w:bookmarkStart w:id="13" w:name="_Toc17148"/>
      <w:bookmarkStart w:id="14" w:name="_Toc23768"/>
      <w:r>
        <w:rPr>
          <w:rFonts w:hint="eastAsia" w:ascii="仿宋" w:hAnsi="仿宋" w:eastAsia="仿宋" w:cs="仿宋"/>
          <w:b w:val="0"/>
          <w:bCs/>
          <w:kern w:val="2"/>
          <w:sz w:val="28"/>
          <w:szCs w:val="28"/>
          <w:highlight w:val="none"/>
          <w:lang w:val="en-US" w:eastAsia="zh-CN" w:bidi="ar-SA"/>
        </w:rPr>
        <w:t>临猗县基本公共卫生服务项目紧紧围绕“保基本、强基层、建机制”的总体要求，积极推进基本公共卫生服务项目的开展，使越来越多的群众成为受益者，城乡居民健康管理取得较好成效。</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60" w:lineRule="exact"/>
        <w:ind w:left="0" w:right="0" w:firstLine="560"/>
        <w:jc w:val="both"/>
        <w:textAlignment w:val="auto"/>
        <w:rPr>
          <w:rFonts w:hint="default" w:ascii="Calibri" w:hAnsi="Calibri" w:eastAsia="仿宋" w:cs="Calibri"/>
          <w:b/>
          <w:bCs/>
          <w:i w:val="0"/>
          <w:caps w:val="0"/>
          <w:color w:val="333333"/>
          <w:spacing w:val="0"/>
          <w:sz w:val="21"/>
          <w:szCs w:val="21"/>
          <w:lang w:val="en-US" w:eastAsia="zh-CN"/>
        </w:rPr>
      </w:pPr>
      <w:r>
        <w:rPr>
          <w:rFonts w:hint="eastAsia" w:ascii="微软雅黑" w:hAnsi="微软雅黑" w:eastAsia="微软雅黑" w:cs="微软雅黑"/>
          <w:i w:val="0"/>
          <w:iCs w:val="0"/>
          <w:caps w:val="0"/>
          <w:color w:val="000000"/>
          <w:spacing w:val="0"/>
          <w:sz w:val="18"/>
          <w:szCs w:val="18"/>
          <w:shd w:val="clear" w:fill="FFFFFF"/>
        </w:rPr>
        <w:t>　</w:t>
      </w:r>
      <w:r>
        <w:rPr>
          <w:rFonts w:ascii="仿宋" w:hAnsi="仿宋" w:eastAsia="仿宋" w:cs="仿宋"/>
          <w:b/>
          <w:bCs/>
          <w:i w:val="0"/>
          <w:caps w:val="0"/>
          <w:color w:val="333333"/>
          <w:spacing w:val="0"/>
          <w:sz w:val="28"/>
          <w:szCs w:val="28"/>
        </w:rPr>
        <w:t>1</w:t>
      </w:r>
      <w:r>
        <w:rPr>
          <w:rFonts w:hint="eastAsia" w:ascii="仿宋" w:hAnsi="仿宋" w:eastAsia="仿宋" w:cs="仿宋"/>
          <w:b/>
          <w:bCs/>
          <w:i w:val="0"/>
          <w:caps w:val="0"/>
          <w:color w:val="333333"/>
          <w:spacing w:val="0"/>
          <w:sz w:val="28"/>
          <w:szCs w:val="28"/>
          <w:lang w:eastAsia="zh-CN"/>
        </w:rPr>
        <w:t>.</w:t>
      </w:r>
      <w:r>
        <w:rPr>
          <w:rFonts w:hint="eastAsia" w:ascii="仿宋" w:hAnsi="仿宋" w:eastAsia="仿宋" w:cs="仿宋"/>
          <w:b/>
          <w:bCs/>
          <w:i w:val="0"/>
          <w:caps w:val="0"/>
          <w:color w:val="333333"/>
          <w:spacing w:val="0"/>
          <w:sz w:val="28"/>
          <w:szCs w:val="28"/>
          <w:lang w:val="en-US" w:eastAsia="zh-CN"/>
        </w:rPr>
        <w:t>职责明确，年度项目任务落实到位</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60" w:lineRule="exact"/>
        <w:ind w:left="0" w:right="0" w:firstLine="560"/>
        <w:jc w:val="left"/>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临猗县卫生健康和体育局制定下发了《临猗县2020年基本公共卫生服务项目实施方案》，明确了医疗集团、各专业公共卫生机构、基层医疗卫生机构、卫健委各相关股室开展2020年基本公卫项目的工作职责；并向各机构下达了2020年基本公共卫生服务项目的工作任务，任务目标明确。各项目实施单位按照《国家基本公共卫生服务规范》（第三版）、《新划入基本公共卫生服务相关工作规范》（2019版）和《临猗县2020年基本公共卫生服务项目实施方案》的相关要求，严格履行工作职责，全面落实完成2020年工作任务。</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60" w:lineRule="exact"/>
        <w:ind w:left="0" w:right="0" w:firstLine="560"/>
        <w:jc w:val="both"/>
        <w:textAlignment w:val="auto"/>
        <w:rPr>
          <w:rFonts w:hint="default" w:ascii="仿宋" w:hAnsi="仿宋" w:eastAsia="仿宋" w:cs="仿宋"/>
          <w:b/>
          <w:bCs/>
          <w:i w:val="0"/>
          <w:caps w:val="0"/>
          <w:color w:val="333333"/>
          <w:spacing w:val="0"/>
          <w:sz w:val="28"/>
          <w:szCs w:val="28"/>
          <w:lang w:val="en-US" w:eastAsia="zh-CN"/>
        </w:rPr>
      </w:pPr>
      <w:r>
        <w:rPr>
          <w:rFonts w:hint="eastAsia" w:ascii="仿宋" w:hAnsi="仿宋" w:eastAsia="仿宋" w:cs="仿宋"/>
          <w:b/>
          <w:bCs/>
          <w:i w:val="0"/>
          <w:caps w:val="0"/>
          <w:color w:val="333333"/>
          <w:spacing w:val="0"/>
          <w:sz w:val="28"/>
          <w:szCs w:val="28"/>
        </w:rPr>
        <w:t>2</w:t>
      </w:r>
      <w:r>
        <w:rPr>
          <w:rFonts w:hint="eastAsia" w:ascii="仿宋" w:hAnsi="仿宋" w:eastAsia="仿宋" w:cs="仿宋"/>
          <w:b/>
          <w:bCs/>
          <w:i w:val="0"/>
          <w:caps w:val="0"/>
          <w:color w:val="333333"/>
          <w:spacing w:val="0"/>
          <w:sz w:val="28"/>
          <w:szCs w:val="28"/>
          <w:lang w:eastAsia="zh-CN"/>
        </w:rPr>
        <w:t>.</w:t>
      </w:r>
      <w:r>
        <w:rPr>
          <w:rFonts w:hint="eastAsia" w:ascii="仿宋" w:hAnsi="仿宋" w:eastAsia="仿宋" w:cs="仿宋"/>
          <w:b/>
          <w:bCs/>
          <w:i w:val="0"/>
          <w:caps w:val="0"/>
          <w:color w:val="333333"/>
          <w:spacing w:val="0"/>
          <w:sz w:val="28"/>
          <w:szCs w:val="28"/>
          <w:lang w:val="en-US" w:eastAsia="zh-CN"/>
        </w:rPr>
        <w:t>项目管理制度完善，运行</w:t>
      </w:r>
      <w:r>
        <w:rPr>
          <w:rFonts w:hint="eastAsia" w:ascii="仿宋" w:hAnsi="仿宋" w:eastAsia="仿宋" w:cs="仿宋"/>
          <w:b/>
          <w:bCs/>
          <w:i w:val="0"/>
          <w:caps w:val="0"/>
          <w:color w:val="333333"/>
          <w:spacing w:val="0"/>
          <w:sz w:val="28"/>
          <w:szCs w:val="28"/>
        </w:rPr>
        <w:t>规范</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60" w:lineRule="exact"/>
        <w:ind w:left="0" w:right="0" w:firstLine="560"/>
        <w:jc w:val="left"/>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临猗县基本公卫工作在中央、省、市级相关部门领导下，不断完善项目管理制度，优化服务内涵。为了提高项目实施的科学性和有效性，临猗县基本公卫各级机构已完成了包括服务范围、服务要求、服务内容、服务流程、操作规范、绩效考核、职责分工、业务指导、业务宣传、业务培训、监管评价、资金管理等内容的标准化管理体系建设。各基层服务机构在项目实施中能够按照标准规范体系开展工作，现已基本形成以制度强化管理、以考核促进提高的的长效机制。</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60" w:leftChars="0" w:right="0" w:rightChars="0"/>
        <w:jc w:val="both"/>
        <w:textAlignment w:val="auto"/>
        <w:rPr>
          <w:rFonts w:hint="eastAsia" w:ascii="仿宋" w:hAnsi="仿宋" w:eastAsia="仿宋" w:cs="仿宋"/>
          <w:b/>
          <w:bCs/>
          <w:i w:val="0"/>
          <w:caps w:val="0"/>
          <w:color w:val="333333"/>
          <w:spacing w:val="0"/>
          <w:sz w:val="28"/>
          <w:szCs w:val="28"/>
          <w:lang w:val="en-US" w:eastAsia="zh-CN"/>
        </w:rPr>
      </w:pPr>
      <w:r>
        <w:rPr>
          <w:rFonts w:hint="eastAsia" w:ascii="仿宋" w:hAnsi="仿宋" w:eastAsia="仿宋" w:cs="仿宋"/>
          <w:b/>
          <w:bCs/>
          <w:i w:val="0"/>
          <w:caps w:val="0"/>
          <w:color w:val="333333"/>
          <w:spacing w:val="0"/>
          <w:sz w:val="28"/>
          <w:szCs w:val="28"/>
          <w:lang w:val="en-US" w:eastAsia="zh-CN"/>
        </w:rPr>
        <w:t>3.强化项目绩效考核、问题整改落实到位</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60" w:lineRule="exact"/>
        <w:ind w:left="0" w:right="0" w:firstLine="560"/>
        <w:jc w:val="left"/>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临猗县基本公共卫生服务项目实行乡、村两级考核管理。临猗县卫生健康和体育局主要以乡镇卫生院为考核对象，每半年组织一次。2020年8月和2021年2月临猗县卫生健康和体育局分别组织公共卫生专业技术人员对各基层实施单位进行了半年和年终基本公共卫生服务项目绩效评价。对评价中发现的问题下发督导通报，提出整改意见，并采取“回头看”的工作模式督促问题整改落实。年终依据年度绩效评价结果与各基层机构进行项目资金结算，有效推动了项目的规范实施、提高了资金的使用效率。</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60" w:lineRule="exact"/>
        <w:ind w:left="0" w:right="0" w:firstLine="560"/>
        <w:jc w:val="left"/>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为强化村卫生室工作监督管理，各乡镇卫生院均制定了村级卫生室考核制度，按季考核，并将考核结果作为工作经费结算依据。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四、项目实施及管理过程中存在的问题及原因分析</w:t>
      </w:r>
      <w:bookmarkEnd w:id="13"/>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562" w:firstLineChars="200"/>
        <w:textAlignment w:val="auto"/>
        <w:outlineLvl w:val="0"/>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（一）项目基础数据申报缺乏统一性、严谨性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1.辖区常住人口信息误差较大</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840" w:firstLineChars="30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2020年临猗县基本公卫项目申请资金时的常住人口数为    595476人，但经过2020年全国第七次人口普查，截止2020年11月1日临猗县常住人口数现为482559人，常住人口相差11万余人；2020年申报65万以上老年人摸底人数为65319人，但人口普查后65岁及以上老年人为73607人，相差8288人。</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2" w:firstLineChars="200"/>
        <w:textAlignment w:val="auto"/>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2.部分项目年度任务指标完成数据不实</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1"/>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现场评价中，每个卫生院我们随机抽查40份老年人健康管理和慢病随访档案进行查看，其中有30份档案下村核查，我们发现：猗氏、庙上、北景档案中各有1名核查对象实际未进行体检；中医院老年健康管理花名册中有80余人年龄在65岁以下；北景卫生院老年人健康体检表中有40余人年龄在65岁以下，且名单中有个别身份证号重复的情况（如尚梨花）。</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3.项目基本数据统计缺乏规范性及统一性</w:t>
      </w:r>
    </w:p>
    <w:p>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基本公卫项目涉及的子项目较多，需向上级部门及专业指导机构报送的报表数据较多，在评价中我们发现，部分项目数据在不同的部门或不同的报表中出现了不同的数字，如：因统计截止时间不同，全县2020年活产数，妇幼部门是3463人、公卫报表是3586人、孕产妇妇健康管理考核报告中是3589人；卫体局年终绩效评价报告中65岁及以上老年人摸底数为65319人，但中医药健康管理中65岁及以上老年人为62305人；在抽取的5家基层机构中，各家对于老年人健康管理率中“年内辖区内65负及以上常住居民数”的来源数据均不同，有的使用摸底数、有的使用建档数、有的按档案的一定百分比计算；各卫生院儿保、妇保管理项目每月上报临猗妇幼院的数据与上报卫体局的基本公卫报表数据每月均不一致。</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562" w:firstLineChars="200"/>
        <w:textAlignment w:val="auto"/>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(二）居民健康档案管理不够规范、档案信息不能共享使用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560" w:firstLineChars="200"/>
        <w:jc w:val="both"/>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经全国人口普查后临猗县现有常住人口482559人，但在评价中我们得知截止2020年末临猗县已</w:t>
      </w:r>
      <w:r>
        <w:rPr>
          <w:rFonts w:hint="default" w:ascii="仿宋" w:hAnsi="仿宋" w:eastAsia="仿宋" w:cs="仿宋"/>
          <w:b w:val="0"/>
          <w:bCs/>
          <w:kern w:val="2"/>
          <w:sz w:val="28"/>
          <w:szCs w:val="28"/>
          <w:highlight w:val="none"/>
          <w:lang w:val="en-US" w:eastAsia="zh-CN" w:bidi="ar-SA"/>
        </w:rPr>
        <w:t>建立电子健康档案人数</w:t>
      </w:r>
      <w:r>
        <w:rPr>
          <w:rFonts w:hint="eastAsia" w:ascii="仿宋" w:hAnsi="仿宋" w:eastAsia="仿宋" w:cs="仿宋"/>
          <w:b w:val="0"/>
          <w:bCs/>
          <w:kern w:val="2"/>
          <w:sz w:val="28"/>
          <w:szCs w:val="28"/>
          <w:highlight w:val="none"/>
          <w:lang w:val="en-US" w:eastAsia="zh-CN" w:bidi="ar-SA"/>
        </w:rPr>
        <w:t>为</w:t>
      </w:r>
      <w:r>
        <w:rPr>
          <w:rFonts w:hint="default" w:ascii="仿宋" w:hAnsi="仿宋" w:eastAsia="仿宋" w:cs="仿宋"/>
          <w:b w:val="0"/>
          <w:bCs/>
          <w:kern w:val="2"/>
          <w:sz w:val="28"/>
          <w:szCs w:val="28"/>
          <w:highlight w:val="none"/>
          <w:lang w:val="en-US" w:eastAsia="zh-CN" w:bidi="ar-SA"/>
        </w:rPr>
        <w:t>547038</w:t>
      </w:r>
      <w:r>
        <w:rPr>
          <w:rFonts w:hint="eastAsia" w:ascii="仿宋" w:hAnsi="仿宋" w:eastAsia="仿宋" w:cs="仿宋"/>
          <w:b w:val="0"/>
          <w:bCs/>
          <w:kern w:val="2"/>
          <w:sz w:val="28"/>
          <w:szCs w:val="28"/>
          <w:highlight w:val="none"/>
          <w:lang w:val="en-US" w:eastAsia="zh-CN" w:bidi="ar-SA"/>
        </w:rPr>
        <w:t>人，而且临猗县中医院所管理的辖区现有3万余人尚未建立电子健康档案，可知已建立的电子建康档案中应终止或清理的档案约有10万余份，在评价中我们发现各基层机构的档案均未能及时进行清理。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已建立的电子健康档案信息尚未向居民开放、尚不能对外共享使用，发挥不出建立电子建康档案的初始作用。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（三）部分项目未完成年度目标任务</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2"/>
        <w:jc w:val="both"/>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从现场评价中，我们发现基本公卫项目服务对象群体庞大，平均每名公卫人员需服务约400-500名左右的常住居民，但基层专业的基本公卫人员紧缺，尤其缺少中医、儿保、妇保等专业特色医务人员，服务人员工作任务繁重，加之基层卫生院医用设备短缺等方面原因，使卫生院服务功能相对弱化，群众常见病、多发病的诊疗和基本公共卫生服务质量得不到有效保障。具体项目实施中存在的问题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1.部分项目完成数量未达预期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我们抽查的5家基层公卫服务机构中，中医院服务辖区的0-3岁儿童中医院健康管理未实施、老年人中医药健康管理率完成为40.82%未达到80%的要求；全县高血压规范管理率实际完成为56.75%未到65%的要求；建康档案动态使用率完成56.02%未到70%的要求；猗氏、庙上、北景的早孕建册率完成均未达到90%的要求。</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2" w:firstLineChars="200"/>
        <w:jc w:val="both"/>
        <w:textAlignment w:val="auto"/>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2.部分项目完成质量未达预期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猗氏、牛杜的新生儿访视和产妇访视工作均由村级卫生室完成，受村卫生室工作人员业务水平限制，访视工作质量未能完全达到服务规范的要求；中医院基本公卫工作人员仅为4名，慢病随访工作大部分通过电话随访完成，未能达到面对面随访的要求；抽查中4家卫生院的中医药健康管理完成数量虽很高，但通过查看档案发现存在部分人员体质辨识错误、服务对象对中医药健康管理内容知晓率低的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（四）绩效指标不完整，项目考核内容不全面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sz w:val="28"/>
          <w:szCs w:val="28"/>
          <w:lang w:val="en-US" w:eastAsia="zh-CN"/>
        </w:rPr>
      </w:pPr>
      <w:r>
        <w:rPr>
          <w:rFonts w:hint="eastAsia" w:ascii="仿宋" w:hAnsi="仿宋" w:eastAsia="仿宋" w:cs="仿宋"/>
          <w:b w:val="0"/>
          <w:bCs/>
          <w:sz w:val="28"/>
          <w:szCs w:val="28"/>
          <w:highlight w:val="none"/>
          <w:lang w:val="en-US" w:eastAsia="zh-CN"/>
        </w:rPr>
        <w:t>2019年基本公共卫生服务项目在原来12项内容的基础上，将原</w:t>
      </w:r>
      <w:r>
        <w:rPr>
          <w:rFonts w:hint="eastAsia" w:ascii="仿宋" w:hAnsi="仿宋" w:eastAsia="仿宋" w:cs="仿宋"/>
          <w:bCs/>
          <w:sz w:val="28"/>
          <w:szCs w:val="28"/>
          <w:highlight w:val="none"/>
          <w:lang w:val="en-US" w:eastAsia="zh-CN"/>
        </w:rPr>
        <w:t>重大公共卫生服务和计划生育项目中的妇幼卫生、老年健康服务、医养结合、卫生应急、孕前检查等内容纳入基本公共卫生服务。但</w:t>
      </w:r>
      <w:r>
        <w:rPr>
          <w:rFonts w:hint="eastAsia" w:ascii="仿宋" w:hAnsi="仿宋" w:eastAsia="仿宋" w:cs="仿宋"/>
          <w:b w:val="0"/>
          <w:bCs/>
          <w:sz w:val="28"/>
          <w:szCs w:val="28"/>
          <w:lang w:val="en-US" w:eastAsia="zh-CN"/>
        </w:rPr>
        <w:t>《</w:t>
      </w:r>
      <w:r>
        <w:rPr>
          <w:rFonts w:hint="eastAsia" w:ascii="仿宋" w:hAnsi="仿宋" w:eastAsia="仿宋" w:cs="仿宋"/>
          <w:b w:val="0"/>
          <w:bCs/>
          <w:sz w:val="28"/>
          <w:szCs w:val="28"/>
          <w:highlight w:val="none"/>
          <w:lang w:val="en-US" w:eastAsia="zh-CN"/>
        </w:rPr>
        <w:t>临猗县2020年基本公共</w:t>
      </w:r>
      <w:r>
        <w:rPr>
          <w:rFonts w:hint="eastAsia" w:ascii="仿宋" w:hAnsi="仿宋" w:eastAsia="仿宋" w:cs="仿宋"/>
          <w:b w:val="0"/>
          <w:bCs/>
          <w:sz w:val="28"/>
          <w:szCs w:val="28"/>
          <w:highlight w:val="none"/>
          <w:u w:val="single"/>
          <w:lang w:val="en-US" w:eastAsia="zh-CN"/>
        </w:rPr>
        <w:t>卫</w:t>
      </w:r>
      <w:r>
        <w:rPr>
          <w:rFonts w:hint="eastAsia" w:ascii="仿宋" w:hAnsi="仿宋" w:eastAsia="仿宋" w:cs="仿宋"/>
          <w:b w:val="0"/>
          <w:bCs/>
          <w:sz w:val="28"/>
          <w:szCs w:val="28"/>
          <w:highlight w:val="none"/>
          <w:lang w:val="en-US" w:eastAsia="zh-CN"/>
        </w:rPr>
        <w:t>生服务项目实施方案</w:t>
      </w:r>
      <w:r>
        <w:rPr>
          <w:rFonts w:hint="eastAsia" w:ascii="仿宋" w:hAnsi="仿宋" w:eastAsia="仿宋" w:cs="仿宋"/>
          <w:b w:val="0"/>
          <w:bCs/>
          <w:sz w:val="28"/>
          <w:szCs w:val="28"/>
          <w:lang w:val="en-US" w:eastAsia="zh-CN"/>
        </w:rPr>
        <w:t>》中项目工作内容及任务指标设置仍为原12项目服务内容，未包括新划入基本公共卫生服务项目。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临猗县2020年基本公卫项目年终绩效评价时，未组织专业人员对新划入基本公共卫生服务项目进行评价；未评价临猗县城区基本公卫实施单位的慢性病健康管理情况。</w:t>
      </w:r>
    </w:p>
    <w:p>
      <w:pPr>
        <w:pStyle w:val="31"/>
        <w:spacing w:line="560" w:lineRule="exact"/>
        <w:ind w:firstLine="562"/>
        <w:rPr>
          <w:rFonts w:hint="eastAsia"/>
          <w:b/>
          <w:lang w:val="en-US" w:eastAsia="zh-CN"/>
        </w:rPr>
      </w:pPr>
      <w:r>
        <w:rPr>
          <w:rFonts w:hint="eastAsia"/>
          <w:b/>
          <w:lang w:val="en-US" w:eastAsia="zh-CN"/>
        </w:rPr>
        <w:t>（五）财务管理不规范，财务监管程序执行不到位</w:t>
      </w:r>
    </w:p>
    <w:p>
      <w:pPr>
        <w:pStyle w:val="31"/>
        <w:spacing w:line="560" w:lineRule="exact"/>
        <w:ind w:firstLine="562"/>
        <w:rPr>
          <w:rFonts w:hint="eastAsia"/>
          <w:b/>
          <w:bCs w:val="0"/>
          <w:lang w:val="en-US" w:eastAsia="zh-CN"/>
        </w:rPr>
      </w:pPr>
      <w:r>
        <w:rPr>
          <w:rFonts w:hint="eastAsia"/>
          <w:b/>
          <w:bCs w:val="0"/>
          <w:lang w:val="en-US" w:eastAsia="zh-CN"/>
        </w:rPr>
        <w:t>1.预算执行进度缓慢，各基层机构2020年项目资金尚未最终结算</w:t>
      </w:r>
    </w:p>
    <w:p>
      <w:pPr>
        <w:pStyle w:val="31"/>
        <w:spacing w:line="560" w:lineRule="exact"/>
        <w:ind w:firstLine="562"/>
        <w:rPr>
          <w:rFonts w:hint="default"/>
          <w:b/>
          <w:bCs w:val="0"/>
          <w:lang w:val="en-US" w:eastAsia="zh-CN"/>
        </w:rPr>
      </w:pPr>
      <w:r>
        <w:rPr>
          <w:rFonts w:hint="eastAsia" w:ascii="仿宋" w:hAnsi="仿宋" w:eastAsia="仿宋" w:cs="仿宋"/>
          <w:b w:val="0"/>
          <w:bCs/>
          <w:sz w:val="28"/>
          <w:szCs w:val="28"/>
          <w:lang w:val="en-US" w:eastAsia="zh-CN"/>
        </w:rPr>
        <w:t>项目预算实际到位资金为</w:t>
      </w:r>
      <w:r>
        <w:rPr>
          <w:rFonts w:hint="eastAsia" w:ascii="仿宋" w:hAnsi="仿宋" w:eastAsia="仿宋" w:cs="仿宋"/>
          <w:bCs/>
          <w:sz w:val="28"/>
          <w:szCs w:val="28"/>
          <w:lang w:val="en-US" w:eastAsia="zh-CN"/>
        </w:rPr>
        <w:t>4176.39</w:t>
      </w:r>
      <w:r>
        <w:rPr>
          <w:rFonts w:hint="eastAsia" w:ascii="仿宋" w:hAnsi="仿宋" w:eastAsia="仿宋" w:cs="仿宋"/>
          <w:bCs/>
          <w:sz w:val="28"/>
          <w:szCs w:val="28"/>
          <w:highlight w:val="none"/>
          <w:lang w:eastAsia="zh-CN" w:bidi="ar"/>
        </w:rPr>
        <w:t>万元，</w:t>
      </w:r>
      <w:r>
        <w:rPr>
          <w:rFonts w:hint="eastAsia" w:ascii="仿宋" w:hAnsi="仿宋" w:eastAsia="仿宋" w:cs="仿宋"/>
          <w:bCs/>
          <w:sz w:val="28"/>
          <w:szCs w:val="28"/>
          <w:highlight w:val="none"/>
          <w:lang w:val="en-US" w:eastAsia="zh-CN" w:bidi="ar"/>
        </w:rPr>
        <w:t>截止绩效评价日</w:t>
      </w:r>
      <w:r>
        <w:rPr>
          <w:rFonts w:hint="eastAsia" w:ascii="仿宋" w:hAnsi="仿宋" w:eastAsia="仿宋" w:cs="仿宋"/>
          <w:b w:val="0"/>
          <w:bCs/>
          <w:sz w:val="28"/>
          <w:szCs w:val="28"/>
          <w:highlight w:val="none"/>
          <w:lang w:val="en-US" w:eastAsia="zh-CN"/>
        </w:rPr>
        <w:t>实际支付为</w:t>
      </w:r>
      <w:r>
        <w:rPr>
          <w:rFonts w:hint="eastAsia" w:ascii="仿宋" w:hAnsi="仿宋" w:eastAsia="仿宋" w:cs="仿宋"/>
          <w:bCs/>
          <w:sz w:val="28"/>
          <w:szCs w:val="28"/>
          <w:highlight w:val="none"/>
          <w:lang w:val="en-US" w:eastAsia="zh-CN" w:bidi="ar"/>
        </w:rPr>
        <w:t>3673.92</w:t>
      </w:r>
      <w:r>
        <w:rPr>
          <w:rFonts w:hint="eastAsia" w:ascii="仿宋" w:hAnsi="仿宋" w:eastAsia="仿宋" w:cs="仿宋"/>
          <w:b w:val="0"/>
          <w:bCs/>
          <w:sz w:val="28"/>
          <w:szCs w:val="28"/>
          <w:highlight w:val="none"/>
          <w:lang w:val="en-US" w:eastAsia="zh-CN"/>
        </w:rPr>
        <w:t>万元，预算执行率为87.97%，2020年项目尚有502.47万元资金未进行结算、分配。</w:t>
      </w:r>
    </w:p>
    <w:p>
      <w:pPr>
        <w:pStyle w:val="31"/>
        <w:spacing w:line="560" w:lineRule="exact"/>
        <w:ind w:firstLine="562"/>
        <w:rPr>
          <w:rFonts w:hint="default"/>
          <w:b w:val="0"/>
          <w:bCs/>
          <w:lang w:val="en-US" w:eastAsia="zh-CN"/>
        </w:rPr>
      </w:pPr>
      <w:r>
        <w:rPr>
          <w:rFonts w:hint="eastAsia"/>
          <w:b/>
          <w:bCs w:val="0"/>
          <w:lang w:val="en-US" w:eastAsia="zh-CN"/>
        </w:rPr>
        <w:t>2.专项资金使用不规范</w:t>
      </w:r>
    </w:p>
    <w:p>
      <w:pPr>
        <w:pStyle w:val="2"/>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基本公卫补助资金使用时，未能严格按照</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基本公共卫生服务补助资金管理办法</w:t>
      </w:r>
      <w:r>
        <w:rPr>
          <w:rFonts w:hint="eastAsia" w:ascii="仿宋" w:hAnsi="仿宋" w:eastAsia="仿宋" w:cs="仿宋"/>
          <w:sz w:val="28"/>
          <w:szCs w:val="28"/>
          <w:highlight w:val="none"/>
          <w:lang w:eastAsia="zh-CN"/>
        </w:rPr>
        <w:t>》的相关规定进行财务核算，</w:t>
      </w:r>
      <w:r>
        <w:rPr>
          <w:rFonts w:hint="eastAsia" w:ascii="仿宋" w:hAnsi="仿宋" w:eastAsia="仿宋" w:cs="仿宋"/>
          <w:sz w:val="28"/>
          <w:szCs w:val="28"/>
          <w:highlight w:val="none"/>
          <w:lang w:val="en-US" w:eastAsia="zh-CN"/>
        </w:rPr>
        <w:t>具体如下：</w:t>
      </w:r>
    </w:p>
    <w:p>
      <w:pPr>
        <w:pStyle w:val="2"/>
        <w:keepNext w:val="0"/>
        <w:keepLines w:val="0"/>
        <w:pageBreakBefore w:val="0"/>
        <w:widowControl w:val="0"/>
        <w:kinsoku/>
        <w:wordWrap/>
        <w:overflowPunct/>
        <w:topLinePunct w:val="0"/>
        <w:autoSpaceDE/>
        <w:autoSpaceDN/>
        <w:bidi w:val="0"/>
        <w:adjustRightInd/>
        <w:snapToGrid/>
        <w:spacing w:after="0"/>
        <w:ind w:firstLine="562" w:firstLineChars="200"/>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bCs w:val="0"/>
          <w:sz w:val="28"/>
          <w:szCs w:val="28"/>
          <w:highlight w:val="none"/>
          <w:lang w:val="en-US" w:eastAsia="zh-CN"/>
        </w:rPr>
        <w:t>超范围列支基本公卫支出</w:t>
      </w:r>
      <w:r>
        <w:rPr>
          <w:rFonts w:hint="eastAsia" w:ascii="仿宋" w:hAnsi="仿宋" w:eastAsia="仿宋" w:cs="仿宋"/>
          <w:b w:val="0"/>
          <w:bCs/>
          <w:sz w:val="28"/>
          <w:szCs w:val="28"/>
          <w:highlight w:val="none"/>
          <w:lang w:val="en-US" w:eastAsia="zh-CN"/>
        </w:rPr>
        <w:t>，如：北景列支二类疫苗支出82,490.00元；庙上支付住院部房屋维修费、床单、枕套、报刊等与公卫无关的支出28,073.00元；猗氏列支二类疫苗支出255,621.00元；妇幼院在基本公卫项目中列支非公卫项目使用的化验检验材料款67,000.00元（如甲胎蛋白）。</w:t>
      </w:r>
    </w:p>
    <w:p>
      <w:pPr>
        <w:pStyle w:val="2"/>
        <w:keepNext w:val="0"/>
        <w:keepLines w:val="0"/>
        <w:pageBreakBefore w:val="0"/>
        <w:widowControl w:val="0"/>
        <w:kinsoku/>
        <w:wordWrap/>
        <w:overflowPunct/>
        <w:topLinePunct w:val="0"/>
        <w:autoSpaceDE/>
        <w:autoSpaceDN/>
        <w:bidi w:val="0"/>
        <w:adjustRightInd/>
        <w:snapToGrid/>
        <w:spacing w:after="0"/>
        <w:ind w:firstLine="562" w:firstLineChars="200"/>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bCs w:val="0"/>
          <w:sz w:val="28"/>
          <w:szCs w:val="28"/>
          <w:highlight w:val="none"/>
          <w:lang w:val="en-US" w:eastAsia="zh-CN"/>
        </w:rPr>
        <w:t>提前列支下年度费用</w:t>
      </w:r>
      <w:r>
        <w:rPr>
          <w:rFonts w:hint="eastAsia" w:ascii="仿宋" w:hAnsi="仿宋" w:eastAsia="仿宋" w:cs="仿宋"/>
          <w:b w:val="0"/>
          <w:bCs/>
          <w:sz w:val="28"/>
          <w:szCs w:val="28"/>
          <w:highlight w:val="none"/>
          <w:lang w:val="en-US" w:eastAsia="zh-CN"/>
        </w:rPr>
        <w:t>，如：临猗县卫生监督所2020年12月列支协管员2021年1-6月工资33,600.00元。</w:t>
      </w:r>
    </w:p>
    <w:p>
      <w:pPr>
        <w:pStyle w:val="2"/>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临猗县2020年基本公共卫生服务项目实施方案》要求：明确乡村两级任务分工，根据村卫生室服务能力，将40%以上的工作任务量交由村卫生室承担，村卫生室项目服务补助经费总额不低于乡镇补助经费总额的40%，但从现场查看4家乡镇卫生院来看，各卫生院对本辖区卫生室的基本公卫资金补助均未达到40%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五、下一步改进建议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（一）推进人口监测项目实施，核实辖区人口数量，规范档案管理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结合全国第七次人口普查结果，按照《新划入基本公共卫生服务相关工作规范》要求，积极推动人口监测项目的实施，核实辖区常住人口数量，以利于更科学、有效的开展基本公共卫生服务项目。</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 xml:space="preserve">    建议在人口核实的基础上，进行一次居民电子健康档案清理活动，对已迁出和长期不更新的档案进行彻底清理，夯实辖区健康档案建档情况，为居民电子健康档案逐步对外开放打下良好的基础。</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（二）数据上报统一口径，提高数据准确度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基本公卫监管部门应统一规范上报数据的截止时点、数据来源、计算要求、基本取数表格样式等内容，提高相同项目报出数据的一致性及不同项目数据的关联性。</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textAlignment w:val="auto"/>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（三）创新考核机制，加强队伍建设，提升项目完成情况</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基本公卫项目服务的群体大部分是老年人和儿童，在现场评价中，不论是电话回访还是下村核查，失访率均很高，为提升项目完成的质量，建议可以尝试项目事中考核，组织专业力量参与到实施单位的老年人健康体检、中医药管理、慢病回访等项目实施中；或各基层实施机构之间交叉监督项目实施，以保证项目完成的真实度。</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加强村级卫生室儿保、妇保专业技术的培训；对新生儿、产妇访视应出具统一的访视通知书，明确列出规范要求的管理内容，并口头告知被服务对象，且服务结果由被服务对象确认，以保证项目实施质量；建议适当扩充孕产妇管理的专业人才，村卫生室确实无法完成的孕产妇管理工作，应由卫生院妇保专业人员承担完成，确保孕产妇健康管理的顺利实施。</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转变及创新服务理念，提高基层医疗人员的服务意识。基层医务人员要认识到开展医疗卫生服务不是指令性的、被动性的、单一性的，要积极走到村民身边提供服务，用村民喜闻乐见的形式开展服务，项目开展要从量的积累走向质的飞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（四）完善绩效目标设置内容，提高项目绩效评价范围</w:t>
      </w:r>
    </w:p>
    <w:p>
      <w:pPr>
        <w:pStyle w:val="2"/>
        <w:keepNext w:val="0"/>
        <w:keepLines w:val="0"/>
        <w:pageBreakBefore w:val="0"/>
        <w:widowControl w:val="0"/>
        <w:kinsoku/>
        <w:wordWrap/>
        <w:overflowPunct/>
        <w:topLinePunct w:val="0"/>
        <w:autoSpaceDE/>
        <w:autoSpaceDN/>
        <w:bidi w:val="0"/>
        <w:adjustRightInd/>
        <w:snapToGrid/>
        <w:spacing w:after="0"/>
        <w:ind w:firstLine="561"/>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建议将《新划入基本公共卫生服务相关工作规范》中的项目内容加入2021年基本公共卫生服务项目实施方案，明确现有基本公卫所有项目的工作内容及年度任务目标，以便于基本公卫项目逐步统一管理、统一考核；依据人员配置、服务群体数量、资金数量等合理设置各项目绩效指标，强化绩效指标的可实现性、合理性。</w:t>
      </w:r>
    </w:p>
    <w:p>
      <w:pPr>
        <w:pStyle w:val="2"/>
        <w:keepNext w:val="0"/>
        <w:keepLines w:val="0"/>
        <w:pageBreakBefore w:val="0"/>
        <w:widowControl w:val="0"/>
        <w:kinsoku/>
        <w:wordWrap/>
        <w:overflowPunct/>
        <w:topLinePunct w:val="0"/>
        <w:autoSpaceDE/>
        <w:autoSpaceDN/>
        <w:bidi w:val="0"/>
        <w:adjustRightInd/>
        <w:snapToGrid/>
        <w:spacing w:after="0"/>
        <w:ind w:firstLine="561"/>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建议将《新划入基本公共卫生服务相关工作规范》中的项目加入2022年基本公卫项目绩效考核方案，会同当地财政部门，同时进行项目年度绩效评价，及时对外公布绩效评价结果。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（五）规范财务核算，加强财务监管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sz w:val="28"/>
          <w:szCs w:val="28"/>
          <w:lang w:val="en-US" w:eastAsia="zh-CN"/>
        </w:rPr>
        <w:t xml:space="preserve"> 加强《基本公共卫生服务补助资金管理办法》的学习</w:t>
      </w:r>
      <w:r>
        <w:rPr>
          <w:rFonts w:hint="eastAsia" w:ascii="Calibri" w:hAnsi="Calibri" w:eastAsia="仿宋" w:cs="Calibri"/>
          <w:kern w:val="2"/>
          <w:sz w:val="28"/>
          <w:szCs w:val="28"/>
          <w:lang w:val="en-US" w:eastAsia="zh-CN" w:bidi="ar-SA"/>
        </w:rPr>
        <w:t>；各基层单位应严格按照资金管理办法相关规定</w:t>
      </w:r>
      <w:r>
        <w:rPr>
          <w:rFonts w:hint="eastAsia" w:ascii="仿宋" w:hAnsi="仿宋" w:eastAsia="仿宋" w:cs="仿宋"/>
          <w:sz w:val="28"/>
          <w:szCs w:val="28"/>
          <w:lang w:eastAsia="zh-CN"/>
        </w:rPr>
        <w:t>进行财务核算，</w:t>
      </w:r>
      <w:r>
        <w:rPr>
          <w:rFonts w:hint="eastAsia" w:ascii="仿宋" w:hAnsi="仿宋" w:eastAsia="仿宋" w:cs="仿宋"/>
          <w:sz w:val="28"/>
          <w:szCs w:val="28"/>
          <w:lang w:val="en-US" w:eastAsia="zh-CN"/>
        </w:rPr>
        <w:t>规范</w:t>
      </w:r>
      <w:r>
        <w:rPr>
          <w:rFonts w:hint="eastAsia" w:ascii="仿宋" w:hAnsi="仿宋" w:eastAsia="仿宋" w:cs="仿宋"/>
          <w:sz w:val="28"/>
          <w:szCs w:val="28"/>
          <w:lang w:eastAsia="zh-CN"/>
        </w:rPr>
        <w:t>专项资金</w:t>
      </w:r>
      <w:r>
        <w:rPr>
          <w:rFonts w:hint="eastAsia" w:ascii="仿宋" w:hAnsi="仿宋" w:eastAsia="仿宋" w:cs="仿宋"/>
          <w:sz w:val="28"/>
          <w:szCs w:val="28"/>
          <w:lang w:val="en-US" w:eastAsia="zh-CN"/>
        </w:rPr>
        <w:t>使用范围</w:t>
      </w:r>
      <w:r>
        <w:rPr>
          <w:rFonts w:hint="eastAsia" w:ascii="仿宋" w:hAnsi="仿宋" w:eastAsia="仿宋" w:cs="仿宋"/>
          <w:sz w:val="28"/>
          <w:szCs w:val="28"/>
          <w:lang w:eastAsia="zh-CN"/>
        </w:rPr>
        <w:t>，提高资金使用效率；项目主管单位</w:t>
      </w:r>
      <w:r>
        <w:rPr>
          <w:rFonts w:hint="eastAsia" w:ascii="仿宋" w:hAnsi="仿宋" w:eastAsia="仿宋" w:cs="仿宋"/>
          <w:sz w:val="28"/>
          <w:szCs w:val="28"/>
          <w:lang w:val="en-US" w:eastAsia="zh-CN"/>
        </w:rPr>
        <w:t>应在基</w:t>
      </w:r>
      <w:r>
        <w:rPr>
          <w:rFonts w:hint="eastAsia" w:ascii="仿宋" w:hAnsi="仿宋" w:eastAsia="仿宋" w:cs="仿宋"/>
          <w:b w:val="0"/>
          <w:bCs/>
          <w:kern w:val="2"/>
          <w:sz w:val="28"/>
          <w:szCs w:val="28"/>
          <w:highlight w:val="none"/>
          <w:lang w:val="en-US" w:eastAsia="zh-CN" w:bidi="ar-SA"/>
        </w:rPr>
        <w:t>本公卫项目绩效考核方案中增加</w:t>
      </w:r>
      <w:r>
        <w:rPr>
          <w:rFonts w:hint="eastAsia" w:ascii="仿宋" w:hAnsi="仿宋" w:eastAsia="仿宋" w:cs="仿宋"/>
          <w:sz w:val="28"/>
          <w:szCs w:val="28"/>
          <w:lang w:val="en-US" w:eastAsia="zh-CN"/>
        </w:rPr>
        <w:t>资金使用情况评价</w:t>
      </w:r>
      <w:r>
        <w:rPr>
          <w:rFonts w:hint="eastAsia" w:ascii="仿宋" w:hAnsi="仿宋" w:eastAsia="仿宋" w:cs="仿宋"/>
          <w:b w:val="0"/>
          <w:bCs/>
          <w:kern w:val="2"/>
          <w:sz w:val="28"/>
          <w:szCs w:val="28"/>
          <w:highlight w:val="none"/>
          <w:lang w:val="en-US" w:eastAsia="zh-CN" w:bidi="ar-SA"/>
        </w:rPr>
        <w:t>内容，</w:t>
      </w:r>
      <w:r>
        <w:rPr>
          <w:rFonts w:hint="eastAsia" w:ascii="仿宋" w:hAnsi="仿宋" w:eastAsia="仿宋" w:cs="仿宋"/>
          <w:sz w:val="28"/>
          <w:szCs w:val="28"/>
          <w:lang w:val="en-US" w:eastAsia="zh-CN"/>
        </w:rPr>
        <w:t>加强项目资金监</w:t>
      </w:r>
      <w:r>
        <w:rPr>
          <w:rFonts w:hint="eastAsia" w:ascii="仿宋" w:hAnsi="仿宋" w:eastAsia="仿宋" w:cs="仿宋"/>
          <w:sz w:val="28"/>
          <w:szCs w:val="28"/>
          <w:lang w:eastAsia="zh-CN"/>
        </w:rPr>
        <w:t>管。</w:t>
      </w:r>
    </w:p>
    <w:p>
      <w:pPr>
        <w:pStyle w:val="2"/>
        <w:jc w:val="left"/>
        <w:rPr>
          <w:rFonts w:hint="default" w:ascii="仿宋" w:hAnsi="仿宋" w:eastAsia="仿宋" w:cs="仿宋"/>
          <w:b/>
          <w:sz w:val="28"/>
          <w:szCs w:val="28"/>
          <w:lang w:val="en-US" w:eastAsia="zh-CN" w:bidi="ar"/>
        </w:rPr>
      </w:pPr>
    </w:p>
    <w:p>
      <w:pPr>
        <w:pStyle w:val="2"/>
        <w:jc w:val="left"/>
        <w:rPr>
          <w:rFonts w:hint="default" w:ascii="仿宋" w:hAnsi="仿宋" w:eastAsia="仿宋" w:cs="仿宋"/>
          <w:b/>
          <w:sz w:val="28"/>
          <w:szCs w:val="28"/>
          <w:lang w:val="en-US" w:eastAsia="zh-CN" w:bidi="ar"/>
        </w:rPr>
      </w:pPr>
    </w:p>
    <w:p>
      <w:pPr>
        <w:pStyle w:val="2"/>
        <w:jc w:val="left"/>
        <w:rPr>
          <w:rFonts w:hint="default" w:ascii="仿宋" w:hAnsi="仿宋" w:eastAsia="仿宋" w:cs="仿宋"/>
          <w:b/>
          <w:sz w:val="28"/>
          <w:szCs w:val="28"/>
          <w:lang w:val="en-US" w:eastAsia="zh-CN" w:bidi="ar"/>
        </w:rPr>
      </w:pPr>
    </w:p>
    <w:p>
      <w:pPr>
        <w:pStyle w:val="2"/>
        <w:jc w:val="left"/>
        <w:rPr>
          <w:rFonts w:hint="default" w:ascii="仿宋" w:hAnsi="仿宋" w:eastAsia="仿宋" w:cs="仿宋"/>
          <w:b/>
          <w:sz w:val="28"/>
          <w:szCs w:val="28"/>
          <w:lang w:val="en-US" w:eastAsia="zh-CN" w:bidi="ar"/>
        </w:rPr>
      </w:pPr>
    </w:p>
    <w:p>
      <w:pPr>
        <w:pStyle w:val="2"/>
        <w:jc w:val="left"/>
        <w:rPr>
          <w:rFonts w:hint="default" w:ascii="仿宋" w:hAnsi="仿宋" w:eastAsia="仿宋" w:cs="仿宋"/>
          <w:b/>
          <w:sz w:val="28"/>
          <w:szCs w:val="28"/>
          <w:lang w:val="en-US" w:eastAsia="zh-CN" w:bidi="ar"/>
        </w:rPr>
      </w:pPr>
    </w:p>
    <w:p>
      <w:pPr>
        <w:spacing w:line="560" w:lineRule="exact"/>
        <w:jc w:val="center"/>
        <w:outlineLvl w:val="0"/>
        <w:rPr>
          <w:rFonts w:hint="eastAsia" w:ascii="仿宋" w:hAnsi="仿宋" w:eastAsia="仿宋" w:cs="仿宋"/>
          <w:b/>
          <w:sz w:val="32"/>
          <w:szCs w:val="32"/>
          <w:lang w:eastAsia="zh-CN" w:bidi="ar"/>
        </w:rPr>
      </w:pPr>
      <w:bookmarkStart w:id="15" w:name="_Toc5259"/>
      <w:bookmarkStart w:id="16" w:name="_Toc13470"/>
    </w:p>
    <w:p>
      <w:pPr>
        <w:spacing w:line="560" w:lineRule="exact"/>
        <w:jc w:val="center"/>
        <w:outlineLvl w:val="0"/>
        <w:rPr>
          <w:rFonts w:hint="eastAsia" w:ascii="仿宋" w:hAnsi="仿宋" w:eastAsia="仿宋" w:cs="仿宋"/>
          <w:b/>
          <w:sz w:val="32"/>
          <w:szCs w:val="32"/>
          <w:lang w:eastAsia="zh-CN" w:bidi="ar"/>
        </w:rPr>
        <w:sectPr>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spacing w:line="560" w:lineRule="exact"/>
        <w:jc w:val="center"/>
        <w:outlineLvl w:val="0"/>
        <w:rPr>
          <w:rFonts w:hint="eastAsia" w:ascii="仿宋" w:hAnsi="仿宋" w:eastAsia="仿宋" w:cs="仿宋"/>
          <w:b/>
          <w:sz w:val="32"/>
          <w:szCs w:val="32"/>
          <w:lang w:eastAsia="zh-CN" w:bidi="ar"/>
        </w:rPr>
      </w:pPr>
      <w:r>
        <w:rPr>
          <w:rFonts w:hint="eastAsia" w:ascii="仿宋" w:hAnsi="仿宋" w:eastAsia="仿宋" w:cs="仿宋"/>
          <w:b/>
          <w:sz w:val="32"/>
          <w:szCs w:val="32"/>
          <w:lang w:eastAsia="zh-CN" w:bidi="ar"/>
        </w:rPr>
        <w:t>临猗县</w:t>
      </w:r>
      <w:r>
        <w:rPr>
          <w:rFonts w:hint="eastAsia" w:ascii="仿宋" w:hAnsi="仿宋" w:eastAsia="仿宋" w:cs="仿宋"/>
          <w:b/>
          <w:sz w:val="32"/>
          <w:szCs w:val="32"/>
          <w:lang w:val="en-US" w:eastAsia="zh-CN" w:bidi="ar"/>
        </w:rPr>
        <w:t>2020年国家</w:t>
      </w:r>
      <w:r>
        <w:rPr>
          <w:rFonts w:hint="eastAsia" w:ascii="仿宋" w:hAnsi="仿宋" w:eastAsia="仿宋" w:cs="仿宋"/>
          <w:b/>
          <w:sz w:val="32"/>
          <w:szCs w:val="32"/>
          <w:lang w:eastAsia="zh-CN" w:bidi="ar"/>
        </w:rPr>
        <w:t>基本公共卫生服务项目</w:t>
      </w:r>
      <w:bookmarkEnd w:id="15"/>
      <w:bookmarkEnd w:id="16"/>
    </w:p>
    <w:p>
      <w:pPr>
        <w:spacing w:line="560" w:lineRule="exact"/>
        <w:jc w:val="center"/>
        <w:outlineLvl w:val="0"/>
        <w:rPr>
          <w:rFonts w:hint="eastAsia" w:ascii="仿宋" w:hAnsi="仿宋" w:eastAsia="仿宋" w:cs="仿宋"/>
          <w:b/>
          <w:sz w:val="32"/>
          <w:szCs w:val="32"/>
          <w:lang w:eastAsia="zh-CN" w:bidi="ar"/>
        </w:rPr>
      </w:pPr>
      <w:bookmarkStart w:id="17" w:name="_Toc26052"/>
      <w:bookmarkStart w:id="18" w:name="_Toc23823"/>
      <w:r>
        <w:rPr>
          <w:rFonts w:hint="eastAsia" w:ascii="仿宋" w:hAnsi="仿宋" w:eastAsia="仿宋" w:cs="仿宋"/>
          <w:b/>
          <w:sz w:val="32"/>
          <w:szCs w:val="32"/>
          <w:lang w:bidi="ar"/>
        </w:rPr>
        <w:t>绩效评价</w:t>
      </w:r>
      <w:r>
        <w:rPr>
          <w:rFonts w:hint="eastAsia" w:ascii="仿宋" w:hAnsi="仿宋" w:eastAsia="仿宋" w:cs="仿宋"/>
          <w:b/>
          <w:sz w:val="32"/>
          <w:szCs w:val="32"/>
          <w:lang w:eastAsia="zh-CN" w:bidi="ar"/>
        </w:rPr>
        <w:t>报告</w:t>
      </w:r>
      <w:bookmarkEnd w:id="17"/>
      <w:bookmarkEnd w:id="18"/>
    </w:p>
    <w:p>
      <w:pPr>
        <w:pStyle w:val="2"/>
        <w:jc w:val="right"/>
        <w:rPr>
          <w:rFonts w:hint="eastAsia"/>
          <w:lang w:eastAsia="zh-CN"/>
        </w:rPr>
      </w:pPr>
      <w:r>
        <w:rPr>
          <w:rFonts w:hint="eastAsia" w:ascii="仿宋" w:hAnsi="仿宋" w:eastAsia="仿宋" w:cs="仿宋"/>
          <w:bCs/>
          <w:sz w:val="28"/>
          <w:szCs w:val="28"/>
          <w:highlight w:val="none"/>
          <w:lang w:eastAsia="zh-CN" w:bidi="ar"/>
        </w:rPr>
        <w:t>晋广和绩评（</w:t>
      </w:r>
      <w:r>
        <w:rPr>
          <w:rFonts w:hint="eastAsia" w:ascii="仿宋" w:hAnsi="仿宋" w:eastAsia="仿宋" w:cs="仿宋"/>
          <w:bCs/>
          <w:sz w:val="28"/>
          <w:szCs w:val="28"/>
          <w:highlight w:val="none"/>
          <w:lang w:val="en-US" w:eastAsia="zh-CN" w:bidi="ar"/>
        </w:rPr>
        <w:t>2021）0015号</w:t>
      </w:r>
    </w:p>
    <w:p>
      <w:pPr>
        <w:spacing w:line="560" w:lineRule="exact"/>
        <w:jc w:val="left"/>
        <w:rPr>
          <w:rFonts w:hint="eastAsia" w:ascii="仿宋" w:hAnsi="仿宋" w:eastAsia="仿宋" w:cs="仿宋"/>
          <w:b w:val="0"/>
          <w:bCs/>
          <w:sz w:val="28"/>
          <w:szCs w:val="28"/>
          <w:highlight w:val="none"/>
          <w:lang w:val="en-US" w:eastAsia="zh-CN" w:bidi="ar"/>
        </w:rPr>
      </w:pPr>
      <w:r>
        <w:rPr>
          <w:rFonts w:hint="eastAsia" w:ascii="仿宋" w:hAnsi="仿宋" w:eastAsia="仿宋" w:cs="仿宋"/>
          <w:b w:val="0"/>
          <w:bCs/>
          <w:sz w:val="28"/>
          <w:szCs w:val="28"/>
          <w:highlight w:val="none"/>
          <w:lang w:val="en-US" w:eastAsia="zh-CN" w:bidi="ar"/>
        </w:rPr>
        <w:t>临猗县财政局：</w:t>
      </w:r>
    </w:p>
    <w:p>
      <w:pPr>
        <w:spacing w:line="560" w:lineRule="exact"/>
        <w:ind w:firstLine="560" w:firstLineChars="200"/>
        <w:jc w:val="left"/>
        <w:rPr>
          <w:rFonts w:hint="eastAsia" w:ascii="仿宋" w:hAnsi="仿宋" w:eastAsia="仿宋" w:cs="仿宋"/>
          <w:bCs/>
          <w:sz w:val="28"/>
          <w:szCs w:val="28"/>
          <w:highlight w:val="none"/>
          <w:lang w:bidi="ar"/>
        </w:rPr>
      </w:pPr>
      <w:r>
        <w:rPr>
          <w:rFonts w:hint="eastAsia" w:ascii="仿宋" w:hAnsi="仿宋" w:eastAsia="仿宋" w:cs="仿宋"/>
          <w:b w:val="0"/>
          <w:bCs/>
          <w:sz w:val="28"/>
          <w:szCs w:val="28"/>
          <w:highlight w:val="none"/>
          <w:lang w:val="en-US" w:eastAsia="zh-CN" w:bidi="ar"/>
        </w:rPr>
        <w:t>为深入贯彻落实《中共山西省委 山西省人民政府关于全面实施预算绩效管理的实施意见》，落实山西省财政工作会议的部署要求，全面实施预算绩效管理，提高财政资源配置效率和使用效益，增强政</w:t>
      </w:r>
      <w:r>
        <w:rPr>
          <w:rFonts w:hint="eastAsia" w:ascii="仿宋" w:hAnsi="仿宋" w:eastAsia="仿宋" w:cs="仿宋"/>
          <w:b w:val="0"/>
          <w:bCs/>
          <w:sz w:val="28"/>
          <w:szCs w:val="28"/>
          <w:highlight w:val="none"/>
          <w:lang w:bidi="ar"/>
        </w:rPr>
        <w:t>府公信力和执行力。根据《预算法》有关规定，按照</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项目支出绩效评价管理办法</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财预</w:t>
      </w:r>
      <w:r>
        <w:rPr>
          <w:rFonts w:hint="eastAsia" w:ascii="仿宋" w:hAnsi="仿宋" w:eastAsia="仿宋" w:cs="仿宋"/>
          <w:sz w:val="28"/>
          <w:szCs w:val="28"/>
        </w:rPr>
        <w:t>〔20</w:t>
      </w:r>
      <w:r>
        <w:rPr>
          <w:rFonts w:hint="eastAsia" w:ascii="仿宋" w:hAnsi="仿宋" w:eastAsia="仿宋" w:cs="仿宋"/>
          <w:sz w:val="28"/>
          <w:szCs w:val="28"/>
          <w:lang w:val="en-US" w:eastAsia="zh-CN"/>
        </w:rPr>
        <w:t>20</w:t>
      </w:r>
      <w:r>
        <w:rPr>
          <w:rFonts w:hint="eastAsia" w:ascii="仿宋" w:hAnsi="仿宋" w:eastAsia="仿宋" w:cs="仿宋"/>
          <w:bCs/>
          <w:sz w:val="28"/>
          <w:szCs w:val="28"/>
          <w:lang w:bidi="ar"/>
        </w:rPr>
        <w:t>〕</w:t>
      </w:r>
      <w:r>
        <w:rPr>
          <w:rFonts w:hint="eastAsia" w:ascii="仿宋" w:hAnsi="仿宋" w:eastAsia="仿宋" w:cs="仿宋"/>
          <w:bCs/>
          <w:sz w:val="28"/>
          <w:szCs w:val="28"/>
          <w:lang w:val="en-US" w:eastAsia="zh-CN" w:bidi="ar"/>
        </w:rPr>
        <w:t>10号）</w:t>
      </w:r>
      <w:r>
        <w:rPr>
          <w:rFonts w:hint="eastAsia" w:ascii="仿宋" w:hAnsi="仿宋" w:eastAsia="仿宋" w:cs="仿宋"/>
          <w:b w:val="0"/>
          <w:bCs/>
          <w:sz w:val="28"/>
          <w:szCs w:val="28"/>
          <w:highlight w:val="none"/>
          <w:lang w:bidi="ar"/>
        </w:rPr>
        <w:t>要求，我单位接</w:t>
      </w:r>
      <w:r>
        <w:rPr>
          <w:rFonts w:hint="eastAsia" w:ascii="仿宋" w:hAnsi="仿宋" w:eastAsia="仿宋" w:cs="仿宋"/>
          <w:b w:val="0"/>
          <w:bCs/>
          <w:sz w:val="28"/>
          <w:szCs w:val="28"/>
          <w:highlight w:val="none"/>
          <w:lang w:eastAsia="zh-CN" w:bidi="ar"/>
        </w:rPr>
        <w:t>受</w:t>
      </w:r>
      <w:r>
        <w:rPr>
          <w:rFonts w:hint="eastAsia" w:ascii="仿宋" w:hAnsi="仿宋" w:eastAsia="仿宋" w:cs="仿宋"/>
          <w:b w:val="0"/>
          <w:bCs/>
          <w:sz w:val="28"/>
          <w:szCs w:val="28"/>
          <w:highlight w:val="none"/>
          <w:lang w:bidi="ar"/>
        </w:rPr>
        <w:t>贵</w:t>
      </w:r>
      <w:r>
        <w:rPr>
          <w:rFonts w:hint="eastAsia" w:ascii="仿宋" w:hAnsi="仿宋" w:eastAsia="仿宋" w:cs="仿宋"/>
          <w:b w:val="0"/>
          <w:bCs/>
          <w:sz w:val="28"/>
          <w:szCs w:val="28"/>
          <w:highlight w:val="none"/>
          <w:lang w:eastAsia="zh-CN" w:bidi="ar"/>
        </w:rPr>
        <w:t>局</w:t>
      </w:r>
      <w:r>
        <w:rPr>
          <w:rFonts w:hint="eastAsia" w:ascii="仿宋" w:hAnsi="仿宋" w:eastAsia="仿宋" w:cs="仿宋"/>
          <w:b w:val="0"/>
          <w:bCs/>
          <w:sz w:val="28"/>
          <w:szCs w:val="28"/>
          <w:highlight w:val="none"/>
          <w:lang w:bidi="ar"/>
        </w:rPr>
        <w:t>委托，对</w:t>
      </w:r>
      <w:r>
        <w:rPr>
          <w:rFonts w:hint="eastAsia" w:ascii="仿宋" w:hAnsi="仿宋" w:eastAsia="仿宋" w:cs="仿宋"/>
          <w:b w:val="0"/>
          <w:bCs/>
          <w:sz w:val="28"/>
          <w:szCs w:val="28"/>
          <w:highlight w:val="none"/>
          <w:lang w:eastAsia="zh-CN" w:bidi="ar"/>
        </w:rPr>
        <w:t>临猗县</w:t>
      </w:r>
      <w:r>
        <w:rPr>
          <w:rFonts w:hint="eastAsia" w:ascii="仿宋" w:hAnsi="仿宋" w:eastAsia="仿宋" w:cs="仿宋"/>
          <w:b w:val="0"/>
          <w:bCs/>
          <w:sz w:val="28"/>
          <w:szCs w:val="28"/>
          <w:highlight w:val="none"/>
          <w:lang w:bidi="ar"/>
        </w:rPr>
        <w:t>20</w:t>
      </w:r>
      <w:r>
        <w:rPr>
          <w:rFonts w:hint="eastAsia" w:ascii="仿宋" w:hAnsi="仿宋" w:eastAsia="仿宋" w:cs="仿宋"/>
          <w:b w:val="0"/>
          <w:bCs/>
          <w:sz w:val="28"/>
          <w:szCs w:val="28"/>
          <w:highlight w:val="none"/>
          <w:lang w:val="en-US" w:eastAsia="zh-CN" w:bidi="ar"/>
        </w:rPr>
        <w:t>20</w:t>
      </w:r>
      <w:r>
        <w:rPr>
          <w:rFonts w:hint="eastAsia" w:ascii="仿宋" w:hAnsi="仿宋" w:eastAsia="仿宋" w:cs="仿宋"/>
          <w:b w:val="0"/>
          <w:bCs/>
          <w:sz w:val="28"/>
          <w:szCs w:val="28"/>
          <w:highlight w:val="none"/>
          <w:lang w:bidi="ar"/>
        </w:rPr>
        <w:t>年国家基本公共卫生</w:t>
      </w:r>
      <w:r>
        <w:rPr>
          <w:rFonts w:hint="eastAsia" w:ascii="仿宋" w:hAnsi="仿宋" w:eastAsia="仿宋" w:cs="仿宋"/>
          <w:b w:val="0"/>
          <w:bCs/>
          <w:sz w:val="28"/>
          <w:szCs w:val="28"/>
          <w:highlight w:val="none"/>
          <w:lang w:eastAsia="zh-CN" w:bidi="ar"/>
        </w:rPr>
        <w:t>服务</w:t>
      </w:r>
      <w:r>
        <w:rPr>
          <w:rFonts w:hint="eastAsia" w:ascii="仿宋" w:hAnsi="仿宋" w:eastAsia="仿宋" w:cs="仿宋"/>
          <w:b w:val="0"/>
          <w:bCs/>
          <w:sz w:val="28"/>
          <w:szCs w:val="28"/>
          <w:highlight w:val="none"/>
          <w:lang w:bidi="ar"/>
        </w:rPr>
        <w:t>项目</w:t>
      </w:r>
      <w:r>
        <w:rPr>
          <w:rFonts w:hint="eastAsia" w:ascii="仿宋" w:hAnsi="仿宋" w:eastAsia="仿宋" w:cs="仿宋"/>
          <w:b w:val="0"/>
          <w:bCs/>
          <w:sz w:val="28"/>
          <w:szCs w:val="28"/>
          <w:highlight w:val="none"/>
          <w:lang w:eastAsia="zh-CN" w:bidi="ar"/>
        </w:rPr>
        <w:t>（以下简称“</w:t>
      </w:r>
      <w:r>
        <w:rPr>
          <w:rFonts w:hint="eastAsia" w:ascii="仿宋" w:hAnsi="仿宋" w:eastAsia="仿宋" w:cs="仿宋"/>
          <w:bCs/>
          <w:sz w:val="28"/>
          <w:szCs w:val="28"/>
          <w:lang w:eastAsia="zh-CN" w:bidi="ar"/>
        </w:rPr>
        <w:t>临猗县基本公共卫生服务项目</w:t>
      </w:r>
      <w:r>
        <w:rPr>
          <w:rFonts w:hint="eastAsia" w:ascii="仿宋" w:hAnsi="仿宋" w:eastAsia="仿宋" w:cs="仿宋"/>
          <w:b w:val="0"/>
          <w:bCs/>
          <w:sz w:val="28"/>
          <w:szCs w:val="28"/>
          <w:highlight w:val="none"/>
          <w:lang w:eastAsia="zh-CN" w:bidi="ar"/>
        </w:rPr>
        <w:t>”）</w:t>
      </w:r>
      <w:r>
        <w:rPr>
          <w:rFonts w:hint="eastAsia" w:ascii="仿宋" w:hAnsi="仿宋" w:eastAsia="仿宋" w:cs="仿宋"/>
          <w:b w:val="0"/>
          <w:bCs/>
          <w:sz w:val="28"/>
          <w:szCs w:val="28"/>
          <w:highlight w:val="none"/>
          <w:lang w:bidi="ar"/>
        </w:rPr>
        <w:t>进行绩效</w:t>
      </w:r>
      <w:r>
        <w:rPr>
          <w:rFonts w:hint="eastAsia" w:ascii="仿宋" w:hAnsi="仿宋" w:eastAsia="仿宋" w:cs="仿宋"/>
          <w:b w:val="0"/>
          <w:bCs/>
          <w:sz w:val="28"/>
          <w:szCs w:val="28"/>
          <w:lang w:bidi="ar"/>
        </w:rPr>
        <w:t>评价。该项目评</w:t>
      </w:r>
      <w:r>
        <w:rPr>
          <w:rFonts w:hint="eastAsia" w:ascii="仿宋" w:hAnsi="仿宋" w:eastAsia="仿宋" w:cs="仿宋"/>
          <w:bCs/>
          <w:sz w:val="28"/>
          <w:szCs w:val="28"/>
          <w:lang w:bidi="ar"/>
        </w:rPr>
        <w:t>价结果</w:t>
      </w:r>
      <w:r>
        <w:rPr>
          <w:rFonts w:hint="eastAsia" w:ascii="仿宋" w:hAnsi="仿宋" w:eastAsia="仿宋" w:cs="仿宋"/>
          <w:bCs/>
          <w:sz w:val="28"/>
          <w:szCs w:val="28"/>
          <w:highlight w:val="none"/>
          <w:lang w:bidi="ar"/>
        </w:rPr>
        <w:t>为</w:t>
      </w:r>
      <w:r>
        <w:rPr>
          <w:rFonts w:hint="eastAsia" w:ascii="仿宋" w:hAnsi="仿宋" w:eastAsia="仿宋" w:cs="仿宋"/>
          <w:bCs/>
          <w:sz w:val="28"/>
          <w:szCs w:val="28"/>
          <w:highlight w:val="none"/>
          <w:lang w:val="en-US" w:eastAsia="zh-CN" w:bidi="ar"/>
        </w:rPr>
        <w:t>71.731</w:t>
      </w:r>
      <w:r>
        <w:rPr>
          <w:rFonts w:hint="eastAsia" w:ascii="仿宋" w:hAnsi="仿宋" w:eastAsia="仿宋" w:cs="仿宋"/>
          <w:bCs/>
          <w:sz w:val="28"/>
          <w:szCs w:val="28"/>
          <w:highlight w:val="none"/>
          <w:lang w:bidi="ar"/>
        </w:rPr>
        <w:t>分。有关情况如下：</w:t>
      </w:r>
    </w:p>
    <w:p>
      <w:pPr>
        <w:numPr>
          <w:ilvl w:val="0"/>
          <w:numId w:val="1"/>
        </w:numPr>
        <w:spacing w:line="560" w:lineRule="exact"/>
        <w:ind w:left="420" w:leftChars="200"/>
        <w:jc w:val="left"/>
        <w:outlineLvl w:val="0"/>
        <w:rPr>
          <w:rFonts w:hint="eastAsia" w:ascii="仿宋" w:hAnsi="仿宋" w:eastAsia="仿宋" w:cs="仿宋"/>
          <w:b/>
          <w:sz w:val="28"/>
          <w:szCs w:val="28"/>
          <w:lang w:eastAsia="zh-CN" w:bidi="ar"/>
        </w:rPr>
      </w:pPr>
      <w:bookmarkStart w:id="19" w:name="_Toc1340"/>
      <w:bookmarkStart w:id="20" w:name="_Toc29647_WPSOffice_Level2"/>
      <w:bookmarkStart w:id="21" w:name="_Toc25032_WPSOffice_Level2"/>
      <w:bookmarkStart w:id="22" w:name="_Toc1866_WPSOffice_Level2"/>
      <w:r>
        <w:rPr>
          <w:rFonts w:hint="eastAsia" w:ascii="仿宋" w:hAnsi="仿宋" w:eastAsia="仿宋" w:cs="仿宋"/>
          <w:b/>
          <w:sz w:val="28"/>
          <w:szCs w:val="28"/>
          <w:lang w:eastAsia="zh-CN" w:bidi="ar"/>
        </w:rPr>
        <w:t>项目基本情况</w:t>
      </w:r>
      <w:bookmarkEnd w:id="19"/>
    </w:p>
    <w:p>
      <w:pPr>
        <w:numPr>
          <w:ilvl w:val="0"/>
          <w:numId w:val="0"/>
        </w:numPr>
        <w:spacing w:line="560" w:lineRule="exact"/>
        <w:ind w:firstLine="281" w:firstLineChars="100"/>
        <w:jc w:val="left"/>
        <w:outlineLvl w:val="1"/>
        <w:rPr>
          <w:rFonts w:ascii="仿宋" w:hAnsi="仿宋" w:eastAsia="仿宋" w:cs="仿宋"/>
          <w:b/>
          <w:sz w:val="28"/>
          <w:szCs w:val="28"/>
        </w:rPr>
      </w:pPr>
      <w:bookmarkStart w:id="23" w:name="_Toc23011"/>
      <w:r>
        <w:rPr>
          <w:rFonts w:hint="eastAsia" w:ascii="仿宋" w:hAnsi="仿宋" w:eastAsia="仿宋" w:cs="仿宋"/>
          <w:b/>
          <w:sz w:val="28"/>
          <w:szCs w:val="28"/>
          <w:lang w:bidi="ar"/>
        </w:rPr>
        <w:t>（一）项目概况</w:t>
      </w:r>
      <w:bookmarkEnd w:id="20"/>
      <w:bookmarkEnd w:id="21"/>
      <w:bookmarkEnd w:id="22"/>
      <w:bookmarkEnd w:id="23"/>
    </w:p>
    <w:p>
      <w:pPr>
        <w:spacing w:line="560" w:lineRule="exact"/>
        <w:ind w:firstLine="562" w:firstLineChars="200"/>
        <w:jc w:val="left"/>
        <w:rPr>
          <w:rFonts w:hint="eastAsia" w:ascii="仿宋" w:hAnsi="仿宋" w:eastAsia="仿宋" w:cs="仿宋"/>
          <w:b/>
          <w:sz w:val="28"/>
          <w:szCs w:val="28"/>
          <w:highlight w:val="none"/>
          <w:lang w:eastAsia="zh-CN"/>
        </w:rPr>
      </w:pPr>
      <w:bookmarkStart w:id="24" w:name="_Toc29647_WPSOffice_Level3"/>
      <w:r>
        <w:rPr>
          <w:rFonts w:hint="eastAsia" w:ascii="仿宋" w:hAnsi="仿宋" w:eastAsia="仿宋" w:cs="仿宋"/>
          <w:b/>
          <w:sz w:val="28"/>
          <w:szCs w:val="28"/>
          <w:highlight w:val="none"/>
          <w:lang w:bidi="ar"/>
        </w:rPr>
        <w:t>1.政策背景</w:t>
      </w:r>
      <w:bookmarkEnd w:id="24"/>
    </w:p>
    <w:p>
      <w:pPr>
        <w:spacing w:line="560" w:lineRule="exact"/>
        <w:ind w:firstLine="560" w:firstLineChars="200"/>
        <w:rPr>
          <w:rFonts w:hint="eastAsia" w:ascii="仿宋" w:hAnsi="仿宋" w:eastAsia="仿宋" w:cs="仿宋"/>
          <w:bCs/>
          <w:sz w:val="28"/>
          <w:szCs w:val="28"/>
          <w:highlight w:val="none"/>
          <w:lang w:eastAsia="zh-CN" w:bidi="ar"/>
        </w:rPr>
      </w:pPr>
      <w:bookmarkStart w:id="25" w:name="_Toc29367_WPSOffice_Level3"/>
      <w:r>
        <w:rPr>
          <w:rFonts w:hint="eastAsia" w:ascii="仿宋" w:hAnsi="仿宋" w:eastAsia="仿宋" w:cs="仿宋"/>
          <w:bCs/>
          <w:sz w:val="28"/>
          <w:szCs w:val="28"/>
          <w:highlight w:val="none"/>
          <w:lang w:eastAsia="zh-CN" w:bidi="ar"/>
        </w:rPr>
        <w:t>医药卫生事业关系亿万人民的健康，是重大民生问题。新中国成立以来，特别是改革开放以来，我国医药卫生事业取得了显著成就，人民群众健康水平明显改善，但城乡和区域医疗卫生事业发展不平衡，资源配置不合理，公共卫生和农村、社区医疗卫生工作比较薄弱，为解决这一矛盾和问题，2009年4月6日，《中共中央国务院关于深化医药卫生体制改革的意见》提出了建立健全覆盖城乡居民的基本医疗卫生制度，为群众提供安全、有效、方便、价廉的医疗卫生服务，</w:t>
      </w:r>
      <w:r>
        <w:rPr>
          <w:rFonts w:hint="eastAsia" w:ascii="仿宋" w:hAnsi="仿宋" w:eastAsia="仿宋" w:cs="仿宋"/>
          <w:bCs/>
          <w:sz w:val="28"/>
          <w:szCs w:val="28"/>
          <w:highlight w:val="none"/>
          <w:lang w:val="en-US" w:eastAsia="zh-CN" w:bidi="ar"/>
        </w:rPr>
        <w:t>并</w:t>
      </w:r>
      <w:r>
        <w:rPr>
          <w:rFonts w:hint="eastAsia" w:ascii="仿宋" w:hAnsi="仿宋" w:eastAsia="仿宋" w:cs="仿宋"/>
          <w:bCs/>
          <w:sz w:val="28"/>
          <w:szCs w:val="28"/>
          <w:highlight w:val="none"/>
          <w:lang w:eastAsia="zh-CN" w:bidi="ar"/>
        </w:rPr>
        <w:t>全面加强公共卫生服务体系建设。</w:t>
      </w:r>
      <w:r>
        <w:rPr>
          <w:rFonts w:hint="eastAsia" w:ascii="仿宋" w:hAnsi="仿宋" w:eastAsia="仿宋" w:cs="仿宋"/>
          <w:bCs/>
          <w:sz w:val="28"/>
          <w:szCs w:val="28"/>
          <w:highlight w:val="none"/>
          <w:lang w:val="en-US" w:eastAsia="zh-CN" w:bidi="ar"/>
        </w:rPr>
        <w:t>2009年7月7日下发《关于促进基本公共卫生服务逐步均等化的意见》，制定了基本公共卫生服务项目，明确了服务内容。</w:t>
      </w:r>
      <w:r>
        <w:rPr>
          <w:rFonts w:hint="eastAsia" w:ascii="仿宋" w:hAnsi="仿宋" w:eastAsia="仿宋" w:cs="仿宋"/>
          <w:bCs/>
          <w:sz w:val="28"/>
          <w:szCs w:val="28"/>
          <w:highlight w:val="none"/>
          <w:lang w:eastAsia="zh-CN" w:bidi="ar"/>
        </w:rPr>
        <w:t>至此，国家和省市卫生部门全面推进基本公共卫生服务均等化项目，</w:t>
      </w:r>
      <w:r>
        <w:rPr>
          <w:rFonts w:hint="eastAsia" w:ascii="仿宋" w:hAnsi="仿宋" w:eastAsia="仿宋" w:cs="仿宋"/>
          <w:bCs/>
          <w:sz w:val="28"/>
          <w:szCs w:val="28"/>
          <w:highlight w:val="none"/>
          <w:lang w:val="en-US" w:eastAsia="zh-CN" w:bidi="ar"/>
        </w:rPr>
        <w:t>力争</w:t>
      </w:r>
      <w:r>
        <w:rPr>
          <w:rFonts w:hint="eastAsia" w:ascii="仿宋" w:hAnsi="仿宋" w:eastAsia="仿宋" w:cs="仿宋"/>
          <w:bCs/>
          <w:sz w:val="28"/>
          <w:szCs w:val="28"/>
          <w:highlight w:val="none"/>
          <w:lang w:eastAsia="zh-CN" w:bidi="ar"/>
        </w:rPr>
        <w:t>到２０２０年，普遍建立比较完善的公共卫生服务体系和医疗服务体系，人民群众健康水平进一步提高。</w:t>
      </w:r>
    </w:p>
    <w:p>
      <w:pPr>
        <w:spacing w:line="560" w:lineRule="exact"/>
        <w:ind w:firstLine="560" w:firstLineChars="200"/>
        <w:rPr>
          <w:rFonts w:hint="eastAsia" w:ascii="仿宋" w:hAnsi="仿宋" w:eastAsia="仿宋" w:cs="仿宋"/>
          <w:bCs/>
          <w:sz w:val="28"/>
          <w:szCs w:val="28"/>
          <w:highlight w:val="none"/>
          <w:lang w:eastAsia="zh-CN" w:bidi="ar"/>
        </w:rPr>
      </w:pPr>
      <w:r>
        <w:rPr>
          <w:rFonts w:hint="eastAsia" w:ascii="仿宋" w:hAnsi="仿宋" w:eastAsia="仿宋" w:cs="仿宋"/>
          <w:bCs/>
          <w:sz w:val="28"/>
          <w:szCs w:val="28"/>
          <w:highlight w:val="none"/>
          <w:lang w:eastAsia="zh-CN" w:bidi="ar"/>
        </w:rPr>
        <w:t>基本公共卫生服务项目是由国家出资购买，基层医疗卫生机构具体实施，所有居民均可免费享受的服务项目。项目从2009年开始实施，人均经费从2009年的15元逐年提高到20</w:t>
      </w:r>
      <w:r>
        <w:rPr>
          <w:rFonts w:hint="eastAsia" w:ascii="仿宋" w:hAnsi="仿宋" w:eastAsia="仿宋" w:cs="仿宋"/>
          <w:bCs/>
          <w:sz w:val="28"/>
          <w:szCs w:val="28"/>
          <w:highlight w:val="none"/>
          <w:lang w:val="en-US" w:eastAsia="zh-CN" w:bidi="ar"/>
        </w:rPr>
        <w:t>20</w:t>
      </w:r>
      <w:r>
        <w:rPr>
          <w:rFonts w:hint="eastAsia" w:ascii="仿宋" w:hAnsi="仿宋" w:eastAsia="仿宋" w:cs="仿宋"/>
          <w:bCs/>
          <w:sz w:val="28"/>
          <w:szCs w:val="28"/>
          <w:highlight w:val="none"/>
          <w:lang w:eastAsia="zh-CN" w:bidi="ar"/>
        </w:rPr>
        <w:t>年的</w:t>
      </w:r>
      <w:r>
        <w:rPr>
          <w:rFonts w:hint="eastAsia" w:ascii="仿宋" w:hAnsi="仿宋" w:eastAsia="仿宋" w:cs="仿宋"/>
          <w:bCs/>
          <w:sz w:val="28"/>
          <w:szCs w:val="28"/>
          <w:highlight w:val="none"/>
          <w:lang w:val="en-US" w:eastAsia="zh-CN" w:bidi="ar"/>
        </w:rPr>
        <w:t>74</w:t>
      </w:r>
      <w:r>
        <w:rPr>
          <w:rFonts w:hint="eastAsia" w:ascii="仿宋" w:hAnsi="仿宋" w:eastAsia="仿宋" w:cs="仿宋"/>
          <w:bCs/>
          <w:sz w:val="28"/>
          <w:szCs w:val="28"/>
          <w:highlight w:val="none"/>
          <w:lang w:eastAsia="zh-CN" w:bidi="ar"/>
        </w:rPr>
        <w:t>元，项目内容从9大类扩展至</w:t>
      </w:r>
      <w:r>
        <w:rPr>
          <w:rFonts w:hint="eastAsia" w:ascii="仿宋" w:hAnsi="仿宋" w:eastAsia="仿宋" w:cs="仿宋"/>
          <w:bCs/>
          <w:sz w:val="28"/>
          <w:szCs w:val="28"/>
          <w:highlight w:val="none"/>
          <w:lang w:val="en-US" w:eastAsia="zh-CN" w:bidi="ar"/>
        </w:rPr>
        <w:t>32大</w:t>
      </w:r>
      <w:r>
        <w:rPr>
          <w:rFonts w:hint="eastAsia" w:ascii="仿宋" w:hAnsi="仿宋" w:eastAsia="仿宋" w:cs="仿宋"/>
          <w:bCs/>
          <w:sz w:val="28"/>
          <w:szCs w:val="28"/>
          <w:highlight w:val="none"/>
          <w:lang w:eastAsia="zh-CN" w:bidi="ar"/>
        </w:rPr>
        <w:t>类。</w:t>
      </w:r>
    </w:p>
    <w:p>
      <w:pPr>
        <w:spacing w:line="560" w:lineRule="exact"/>
        <w:ind w:firstLine="562" w:firstLineChars="200"/>
        <w:rPr>
          <w:rFonts w:hint="eastAsia" w:ascii="仿宋" w:hAnsi="仿宋" w:eastAsia="仿宋" w:cs="仿宋"/>
          <w:b/>
          <w:bCs w:val="0"/>
          <w:sz w:val="28"/>
          <w:szCs w:val="28"/>
          <w:highlight w:val="none"/>
          <w:lang w:bidi="ar"/>
        </w:rPr>
      </w:pPr>
      <w:r>
        <w:rPr>
          <w:rFonts w:hint="eastAsia" w:ascii="仿宋" w:hAnsi="仿宋" w:eastAsia="仿宋" w:cs="仿宋"/>
          <w:b/>
          <w:bCs w:val="0"/>
          <w:sz w:val="28"/>
          <w:szCs w:val="28"/>
          <w:highlight w:val="none"/>
          <w:lang w:bidi="ar"/>
        </w:rPr>
        <w:t>2.政策目标</w:t>
      </w:r>
      <w:bookmarkEnd w:id="25"/>
    </w:p>
    <w:p>
      <w:pPr>
        <w:spacing w:line="560" w:lineRule="exact"/>
        <w:ind w:firstLine="560" w:firstLineChars="200"/>
        <w:rPr>
          <w:rFonts w:hint="eastAsia" w:ascii="仿宋" w:hAnsi="仿宋" w:eastAsia="仿宋" w:cs="仿宋"/>
          <w:bCs/>
          <w:sz w:val="28"/>
          <w:szCs w:val="28"/>
          <w:highlight w:val="none"/>
          <w:lang w:bidi="ar"/>
        </w:rPr>
      </w:pPr>
      <w:r>
        <w:rPr>
          <w:rFonts w:hint="eastAsia" w:ascii="仿宋" w:hAnsi="仿宋" w:eastAsia="仿宋" w:cs="仿宋"/>
          <w:bCs/>
          <w:sz w:val="28"/>
          <w:szCs w:val="28"/>
          <w:highlight w:val="none"/>
          <w:lang w:eastAsia="zh-CN" w:bidi="ar"/>
        </w:rPr>
        <w:t>该项目政策目标是：通过实施国家基本公共卫生服务项目和重大公共卫生服务项目，对城乡居民健康问题实施干预措施，减少主要健康危险因素，有效预防和控制主要传染病及慢性病，提高公共卫生服务和突发公共卫生事件应急处置能力，使城乡居民逐步享有均等化的基本公共卫生服务。</w:t>
      </w:r>
    </w:p>
    <w:p>
      <w:pPr>
        <w:spacing w:line="560" w:lineRule="exact"/>
        <w:ind w:firstLine="562" w:firstLineChars="200"/>
        <w:jc w:val="left"/>
        <w:rPr>
          <w:rFonts w:ascii="仿宋" w:hAnsi="仿宋" w:eastAsia="仿宋" w:cs="仿宋"/>
          <w:b/>
          <w:sz w:val="28"/>
          <w:szCs w:val="28"/>
        </w:rPr>
      </w:pPr>
      <w:bookmarkStart w:id="26" w:name="_Toc19653_WPSOffice_Level3"/>
      <w:r>
        <w:rPr>
          <w:rFonts w:hint="eastAsia" w:ascii="仿宋" w:hAnsi="仿宋" w:eastAsia="仿宋" w:cs="仿宋"/>
          <w:b/>
          <w:sz w:val="28"/>
          <w:szCs w:val="28"/>
          <w:lang w:bidi="ar"/>
        </w:rPr>
        <w:t>3.项目立项依据</w:t>
      </w:r>
      <w:bookmarkEnd w:id="26"/>
    </w:p>
    <w:p>
      <w:pPr>
        <w:spacing w:line="560" w:lineRule="exact"/>
        <w:ind w:firstLine="560" w:firstLineChars="200"/>
        <w:rPr>
          <w:rFonts w:hint="eastAsia" w:ascii="仿宋" w:hAnsi="仿宋" w:eastAsia="仿宋" w:cs="仿宋"/>
          <w:bCs/>
          <w:sz w:val="28"/>
          <w:szCs w:val="28"/>
          <w:highlight w:val="none"/>
          <w:lang w:eastAsia="zh-CN"/>
        </w:rPr>
      </w:pPr>
      <w:bookmarkStart w:id="27" w:name="_Toc9017_WPSOffice_Level3"/>
      <w:r>
        <w:rPr>
          <w:rFonts w:hint="eastAsia" w:ascii="仿宋" w:hAnsi="仿宋" w:eastAsia="仿宋" w:cs="仿宋"/>
          <w:bCs/>
          <w:sz w:val="28"/>
          <w:szCs w:val="28"/>
          <w:highlight w:val="none"/>
        </w:rPr>
        <w:t>（1）</w:t>
      </w:r>
      <w:r>
        <w:rPr>
          <w:rFonts w:hint="eastAsia" w:ascii="仿宋" w:hAnsi="仿宋" w:eastAsia="仿宋" w:cs="仿宋"/>
          <w:bCs/>
          <w:sz w:val="28"/>
          <w:szCs w:val="28"/>
          <w:highlight w:val="none"/>
          <w:lang w:eastAsia="zh-CN"/>
        </w:rPr>
        <w:t>《关于促进基本公共卫生服务逐步均等化的意见》（卫妇社发〔2009〕70号）</w:t>
      </w:r>
    </w:p>
    <w:p>
      <w:pPr>
        <w:spacing w:line="560" w:lineRule="exact"/>
        <w:ind w:firstLine="560" w:firstLineChars="200"/>
        <w:rPr>
          <w:rFonts w:hint="default" w:ascii="仿宋" w:hAnsi="仿宋" w:eastAsia="仿宋" w:cs="仿宋"/>
          <w:bCs/>
          <w:sz w:val="28"/>
          <w:szCs w:val="28"/>
          <w:highlight w:val="none"/>
          <w:lang w:val="en-US" w:eastAsia="zh-CN"/>
        </w:rPr>
      </w:pP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2）《国家基本公共卫生服务规范》（第三版）</w:t>
      </w:r>
    </w:p>
    <w:p>
      <w:pPr>
        <w:spacing w:line="560" w:lineRule="exact"/>
        <w:ind w:firstLine="560" w:firstLineChars="200"/>
        <w:rPr>
          <w:rFonts w:hint="eastAsia" w:ascii="仿宋" w:hAnsi="仿宋" w:eastAsia="仿宋" w:cs="仿宋"/>
          <w:bCs/>
          <w:sz w:val="28"/>
          <w:szCs w:val="28"/>
          <w:highlight w:val="none"/>
          <w:lang w:val="en-US" w:eastAsia="zh-CN"/>
        </w:rPr>
      </w:pP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3）《新划入基本公共卫生服务相关工作规范》（2019年版）</w:t>
      </w:r>
    </w:p>
    <w:p>
      <w:pPr>
        <w:spacing w:line="560" w:lineRule="exact"/>
        <w:ind w:firstLine="560" w:firstLineChars="200"/>
        <w:rPr>
          <w:rFonts w:hint="default" w:ascii="仿宋" w:hAnsi="仿宋" w:eastAsia="仿宋" w:cs="仿宋"/>
          <w:bCs/>
          <w:sz w:val="28"/>
          <w:szCs w:val="28"/>
          <w:highlight w:val="none"/>
          <w:lang w:val="en-US" w:eastAsia="zh-CN"/>
        </w:rPr>
      </w:pP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4）《关于做好2020年基本公共卫生服务项目工作的通知》（国卫基层发〔2020〕9号）</w:t>
      </w:r>
    </w:p>
    <w:p>
      <w:pPr>
        <w:spacing w:line="560" w:lineRule="exact"/>
        <w:ind w:firstLine="560" w:firstLineChars="200"/>
        <w:rPr>
          <w:rFonts w:hint="eastAsia" w:ascii="仿宋" w:hAnsi="仿宋" w:eastAsia="仿宋" w:cs="仿宋"/>
          <w:bCs/>
          <w:sz w:val="28"/>
          <w:szCs w:val="28"/>
          <w:highlight w:val="none"/>
          <w:lang w:val="en-US" w:eastAsia="zh-CN"/>
        </w:rPr>
      </w:pP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5）临猗县卫生健康和体育局《临猗县2020年基本公共卫生服务项目实施方案》（临卫健体发〔2020〕128号）</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ascii="仿宋" w:hAnsi="仿宋" w:eastAsia="仿宋" w:cs="仿宋"/>
          <w:bCs/>
          <w:kern w:val="2"/>
          <w:sz w:val="28"/>
          <w:szCs w:val="28"/>
          <w:highlight w:val="none"/>
          <w:lang w:val="en-US" w:eastAsia="zh-CN" w:bidi="ar-SA"/>
        </w:rPr>
      </w:pPr>
      <w:r>
        <w:rPr>
          <w:rFonts w:hint="eastAsia"/>
          <w:lang w:val="en-US" w:eastAsia="zh-CN"/>
        </w:rPr>
        <w:t xml:space="preserve"> </w:t>
      </w:r>
      <w:r>
        <w:rPr>
          <w:rFonts w:hint="eastAsia" w:ascii="仿宋" w:hAnsi="仿宋" w:eastAsia="仿宋" w:cs="仿宋"/>
          <w:bCs/>
          <w:kern w:val="2"/>
          <w:sz w:val="28"/>
          <w:szCs w:val="28"/>
          <w:highlight w:val="none"/>
          <w:lang w:val="en-US" w:eastAsia="zh-CN" w:bidi="ar-SA"/>
        </w:rPr>
        <w:t xml:space="preserve">   （6）其他相关规定</w:t>
      </w:r>
    </w:p>
    <w:p>
      <w:pPr>
        <w:spacing w:line="560" w:lineRule="exact"/>
        <w:ind w:firstLine="562" w:firstLineChars="200"/>
        <w:rPr>
          <w:rFonts w:ascii="仿宋" w:hAnsi="仿宋" w:eastAsia="仿宋" w:cs="仿宋"/>
          <w:sz w:val="28"/>
          <w:szCs w:val="28"/>
        </w:rPr>
      </w:pPr>
      <w:r>
        <w:rPr>
          <w:rFonts w:hint="eastAsia" w:ascii="仿宋" w:hAnsi="仿宋" w:eastAsia="仿宋" w:cs="仿宋"/>
          <w:b/>
          <w:sz w:val="28"/>
          <w:szCs w:val="28"/>
          <w:lang w:bidi="ar"/>
        </w:rPr>
        <w:t>4.政策内容</w:t>
      </w:r>
      <w:bookmarkEnd w:id="27"/>
    </w:p>
    <w:p>
      <w:pPr>
        <w:spacing w:line="560" w:lineRule="exact"/>
        <w:ind w:firstLine="560" w:firstLineChars="200"/>
        <w:rPr>
          <w:rFonts w:ascii="仿宋" w:hAnsi="仿宋" w:eastAsia="仿宋" w:cs="仿宋"/>
          <w:i w:val="0"/>
          <w:caps w:val="0"/>
          <w:color w:val="484848"/>
          <w:spacing w:val="0"/>
          <w:sz w:val="21"/>
          <w:szCs w:val="21"/>
        </w:rPr>
      </w:pPr>
      <w:r>
        <w:rPr>
          <w:rFonts w:hint="eastAsia" w:ascii="仿宋" w:hAnsi="仿宋" w:eastAsia="仿宋" w:cs="仿宋"/>
          <w:bCs/>
          <w:sz w:val="28"/>
          <w:szCs w:val="28"/>
          <w:highlight w:val="none"/>
          <w:lang w:val="en-US" w:eastAsia="zh-CN"/>
        </w:rPr>
        <w:t>原基本公共卫生服务内容：建立居民健康档案、健康教育、预防接种、儿童健康管理、孕产妇健康管理、老年人健康管理、高血压和2型糖尿病等慢性病患者健康管理、严重精神障碍患者管理、肺结核患者健康管理、中医药健康管理、传染病和突发公共卫生事件报告和处理、卫生监督协管等12类项目</w:t>
      </w:r>
      <w:r>
        <w:rPr>
          <w:rFonts w:ascii="仿宋" w:hAnsi="仿宋" w:eastAsia="仿宋" w:cs="仿宋"/>
          <w:i w:val="0"/>
          <w:caps w:val="0"/>
          <w:color w:val="484848"/>
          <w:spacing w:val="0"/>
          <w:sz w:val="21"/>
          <w:szCs w:val="21"/>
        </w:rPr>
        <w:t>。</w:t>
      </w:r>
    </w:p>
    <w:p>
      <w:pPr>
        <w:spacing w:line="560" w:lineRule="exact"/>
        <w:ind w:firstLine="560" w:firstLineChars="200"/>
        <w:rPr>
          <w:rFonts w:hint="eastAsia" w:ascii="仿宋" w:hAnsi="仿宋" w:eastAsia="仿宋" w:cs="仿宋"/>
          <w:bCs/>
          <w:sz w:val="28"/>
          <w:szCs w:val="28"/>
          <w:highlight w:val="yellow"/>
          <w:lang w:bidi="ar"/>
        </w:rPr>
      </w:pPr>
      <w:r>
        <w:rPr>
          <w:rFonts w:hint="eastAsia" w:ascii="仿宋" w:hAnsi="仿宋" w:eastAsia="仿宋" w:cs="仿宋"/>
          <w:bCs/>
          <w:sz w:val="28"/>
          <w:szCs w:val="28"/>
          <w:highlight w:val="none"/>
          <w:lang w:val="en-US" w:eastAsia="zh-CN"/>
        </w:rPr>
        <w:t>新划入基本公共卫生服务内容：2019年起将原重大公共卫生服务和计划生育项目中的妇幼卫生、老年健康服务、医养结合、卫生应急、孕前检查等内容纳入基本公共卫生服务。</w:t>
      </w:r>
    </w:p>
    <w:p>
      <w:pPr>
        <w:spacing w:line="560" w:lineRule="exact"/>
        <w:ind w:firstLine="562" w:firstLineChars="200"/>
        <w:rPr>
          <w:rFonts w:hint="default" w:ascii="仿宋" w:hAnsi="仿宋" w:eastAsia="仿宋" w:cs="仿宋"/>
          <w:sz w:val="28"/>
          <w:szCs w:val="28"/>
          <w:highlight w:val="none"/>
          <w:lang w:val="en-US" w:eastAsia="zh-CN"/>
        </w:rPr>
      </w:pPr>
      <w:bookmarkStart w:id="28" w:name="_Toc29367_WPSOffice_Level2"/>
      <w:bookmarkStart w:id="29" w:name="_Toc15842_WPSOffice_Level2"/>
      <w:bookmarkStart w:id="30" w:name="_Toc8021"/>
      <w:bookmarkStart w:id="31" w:name="_Toc12362_WPSOffice_Level2"/>
      <w:r>
        <w:rPr>
          <w:rFonts w:hint="eastAsia" w:ascii="仿宋" w:hAnsi="仿宋" w:eastAsia="仿宋" w:cs="仿宋"/>
          <w:b/>
          <w:sz w:val="28"/>
          <w:szCs w:val="28"/>
          <w:highlight w:val="none"/>
          <w:lang w:val="en-US" w:eastAsia="zh-CN" w:bidi="ar"/>
        </w:rPr>
        <w:t>5</w:t>
      </w:r>
      <w:r>
        <w:rPr>
          <w:rFonts w:hint="eastAsia" w:ascii="仿宋" w:hAnsi="仿宋" w:eastAsia="仿宋" w:cs="仿宋"/>
          <w:b/>
          <w:sz w:val="28"/>
          <w:szCs w:val="28"/>
          <w:highlight w:val="none"/>
          <w:lang w:bidi="ar"/>
        </w:rPr>
        <w:t>.</w:t>
      </w:r>
      <w:r>
        <w:rPr>
          <w:rFonts w:hint="eastAsia" w:ascii="仿宋" w:hAnsi="仿宋" w:eastAsia="仿宋" w:cs="仿宋"/>
          <w:b/>
          <w:sz w:val="28"/>
          <w:szCs w:val="28"/>
          <w:highlight w:val="none"/>
          <w:lang w:val="en-US" w:eastAsia="zh-CN" w:bidi="ar"/>
        </w:rPr>
        <w:t xml:space="preserve">实施范围 </w:t>
      </w:r>
    </w:p>
    <w:p>
      <w:pPr>
        <w:spacing w:line="560" w:lineRule="exact"/>
        <w:ind w:firstLine="560" w:firstLineChars="200"/>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临猗县内常住居民（居住半年以上的户籍和非户籍居民），均可免费享受基本公共卫生服务，以0-6岁儿童、孕产妇、老年人、慢性病患者等人群为重点。</w:t>
      </w:r>
    </w:p>
    <w:p>
      <w:pPr>
        <w:spacing w:line="560" w:lineRule="exact"/>
        <w:ind w:firstLine="562" w:firstLineChars="200"/>
        <w:jc w:val="left"/>
        <w:rPr>
          <w:rFonts w:ascii="仿宋" w:hAnsi="仿宋" w:eastAsia="仿宋" w:cs="仿宋"/>
          <w:b/>
          <w:bCs/>
          <w:sz w:val="28"/>
          <w:szCs w:val="28"/>
          <w:highlight w:val="none"/>
          <w:lang w:bidi="ar"/>
        </w:rPr>
      </w:pPr>
      <w:r>
        <w:rPr>
          <w:rFonts w:hint="eastAsia" w:ascii="仿宋" w:hAnsi="仿宋" w:eastAsia="仿宋" w:cs="仿宋"/>
          <w:b/>
          <w:sz w:val="28"/>
          <w:szCs w:val="28"/>
          <w:highlight w:val="none"/>
          <w:lang w:val="en-US" w:eastAsia="zh-CN" w:bidi="ar"/>
        </w:rPr>
        <w:t>6</w:t>
      </w:r>
      <w:r>
        <w:rPr>
          <w:rFonts w:hint="eastAsia" w:ascii="仿宋" w:hAnsi="仿宋" w:eastAsia="仿宋" w:cs="仿宋"/>
          <w:b/>
          <w:bCs/>
          <w:sz w:val="28"/>
          <w:szCs w:val="28"/>
          <w:highlight w:val="none"/>
          <w:lang w:bidi="ar"/>
        </w:rPr>
        <w:t>.项目实施期限为20</w:t>
      </w:r>
      <w:r>
        <w:rPr>
          <w:rFonts w:hint="eastAsia" w:ascii="仿宋" w:hAnsi="仿宋" w:eastAsia="仿宋" w:cs="仿宋"/>
          <w:b/>
          <w:bCs/>
          <w:sz w:val="28"/>
          <w:szCs w:val="28"/>
          <w:highlight w:val="none"/>
          <w:lang w:val="en-US" w:eastAsia="zh-CN" w:bidi="ar"/>
        </w:rPr>
        <w:t>20</w:t>
      </w:r>
      <w:r>
        <w:rPr>
          <w:rFonts w:hint="eastAsia" w:ascii="仿宋" w:hAnsi="仿宋" w:eastAsia="仿宋" w:cs="仿宋"/>
          <w:b/>
          <w:bCs/>
          <w:sz w:val="28"/>
          <w:szCs w:val="28"/>
          <w:highlight w:val="none"/>
          <w:lang w:bidi="ar"/>
        </w:rPr>
        <w:t>年度。</w:t>
      </w:r>
    </w:p>
    <w:p>
      <w:pPr>
        <w:spacing w:line="560" w:lineRule="exact"/>
        <w:ind w:firstLine="560"/>
        <w:jc w:val="left"/>
        <w:outlineLvl w:val="1"/>
        <w:rPr>
          <w:rFonts w:ascii="仿宋" w:hAnsi="仿宋" w:eastAsia="仿宋" w:cs="仿宋"/>
          <w:b/>
          <w:sz w:val="28"/>
          <w:szCs w:val="28"/>
          <w:highlight w:val="none"/>
          <w:lang w:bidi="ar"/>
        </w:rPr>
      </w:pPr>
      <w:r>
        <w:rPr>
          <w:rFonts w:hint="eastAsia" w:ascii="仿宋" w:hAnsi="仿宋" w:eastAsia="仿宋" w:cs="仿宋"/>
          <w:b/>
          <w:sz w:val="28"/>
          <w:szCs w:val="28"/>
          <w:highlight w:val="none"/>
          <w:lang w:bidi="ar"/>
        </w:rPr>
        <w:t>（二）资金概况</w:t>
      </w:r>
      <w:bookmarkEnd w:id="28"/>
      <w:bookmarkEnd w:id="29"/>
      <w:bookmarkEnd w:id="30"/>
      <w:bookmarkEnd w:id="31"/>
    </w:p>
    <w:p>
      <w:pPr>
        <w:spacing w:line="560" w:lineRule="exact"/>
        <w:ind w:firstLine="560"/>
        <w:jc w:val="left"/>
        <w:rPr>
          <w:rFonts w:hint="default" w:ascii="仿宋" w:hAnsi="仿宋" w:eastAsia="仿宋" w:cs="仿宋"/>
          <w:b/>
          <w:sz w:val="28"/>
          <w:szCs w:val="28"/>
          <w:highlight w:val="none"/>
          <w:lang w:val="en-US" w:eastAsia="zh-CN" w:bidi="ar"/>
        </w:rPr>
      </w:pPr>
      <w:bookmarkStart w:id="32" w:name="_Toc9672_WPSOffice_Level3"/>
      <w:bookmarkStart w:id="33" w:name="_Toc1305_WPSOffice_Level3"/>
      <w:r>
        <w:rPr>
          <w:rFonts w:hint="eastAsia" w:ascii="仿宋" w:hAnsi="仿宋" w:eastAsia="仿宋" w:cs="仿宋"/>
          <w:b/>
          <w:sz w:val="28"/>
          <w:szCs w:val="28"/>
          <w:highlight w:val="none"/>
          <w:lang w:bidi="ar"/>
        </w:rPr>
        <w:t>1.项目资金</w:t>
      </w:r>
      <w:bookmarkEnd w:id="32"/>
      <w:r>
        <w:rPr>
          <w:rFonts w:hint="eastAsia" w:ascii="仿宋" w:hAnsi="仿宋" w:eastAsia="仿宋" w:cs="仿宋"/>
          <w:b/>
          <w:sz w:val="28"/>
          <w:szCs w:val="28"/>
          <w:highlight w:val="none"/>
          <w:lang w:val="en-US" w:eastAsia="zh-CN" w:bidi="ar"/>
        </w:rPr>
        <w:t>预算及来源</w:t>
      </w:r>
    </w:p>
    <w:p>
      <w:pPr>
        <w:spacing w:line="560" w:lineRule="exact"/>
        <w:ind w:firstLine="560"/>
        <w:jc w:val="left"/>
        <w:rPr>
          <w:rFonts w:hint="eastAsia" w:ascii="仿宋" w:hAnsi="仿宋" w:eastAsia="仿宋" w:cs="仿宋"/>
          <w:bCs/>
          <w:sz w:val="28"/>
          <w:szCs w:val="28"/>
          <w:highlight w:val="none"/>
          <w:lang w:val="en-US" w:eastAsia="zh-CN"/>
        </w:rPr>
      </w:pPr>
      <w:r>
        <w:rPr>
          <w:rFonts w:hint="eastAsia" w:ascii="仿宋" w:hAnsi="仿宋" w:eastAsia="仿宋" w:cs="仿宋"/>
          <w:bCs/>
          <w:sz w:val="28"/>
          <w:szCs w:val="28"/>
          <w:lang w:eastAsia="zh-CN" w:bidi="ar"/>
        </w:rPr>
        <w:t>根据</w:t>
      </w:r>
      <w:r>
        <w:rPr>
          <w:rFonts w:hint="eastAsia" w:ascii="仿宋" w:hAnsi="仿宋" w:eastAsia="仿宋" w:cs="仿宋"/>
          <w:bCs/>
          <w:sz w:val="28"/>
          <w:szCs w:val="28"/>
          <w:lang w:val="en-US" w:eastAsia="zh-CN" w:bidi="ar"/>
        </w:rPr>
        <w:t>国办发（2018）67号《国务院办公厅关于印发医疗卫生领域中央与地方财政事权和支出责任划分改革方案的通知》和历年基本公共卫生服务项目人均补助经费增长情况（年人均增长5元），临猗县卫生健康和体育局以</w:t>
      </w:r>
      <w:r>
        <w:rPr>
          <w:rFonts w:hint="eastAsia" w:ascii="仿宋" w:hAnsi="仿宋" w:eastAsia="仿宋" w:cs="仿宋"/>
          <w:bCs/>
          <w:sz w:val="28"/>
          <w:szCs w:val="28"/>
          <w:lang w:val="en-US" w:eastAsia="zh-CN"/>
        </w:rPr>
        <w:t>临猗县2018年常住人口数</w:t>
      </w:r>
      <w:r>
        <w:rPr>
          <w:rFonts w:hint="eastAsia" w:ascii="仿宋" w:hAnsi="仿宋" w:eastAsia="仿宋" w:cs="仿宋"/>
          <w:bCs/>
          <w:sz w:val="28"/>
          <w:szCs w:val="28"/>
          <w:highlight w:val="none"/>
          <w:lang w:val="en-US" w:eastAsia="zh-CN"/>
        </w:rPr>
        <w:t>595476人</w:t>
      </w:r>
      <w:r>
        <w:rPr>
          <w:rFonts w:hint="eastAsia" w:ascii="仿宋" w:hAnsi="仿宋" w:eastAsia="仿宋" w:cs="仿宋"/>
          <w:bCs/>
          <w:sz w:val="28"/>
          <w:szCs w:val="28"/>
          <w:lang w:val="en-US" w:eastAsia="zh-CN"/>
        </w:rPr>
        <w:t>和人均补助经费74元为依据，申请项目2020年预算，其中中央资金承担比例为60%，省级资金承担比例为20%</w:t>
      </w:r>
      <w:r>
        <w:rPr>
          <w:rFonts w:hint="eastAsia" w:ascii="仿宋" w:hAnsi="仿宋" w:eastAsia="仿宋" w:cs="仿宋"/>
          <w:bCs/>
          <w:sz w:val="28"/>
          <w:szCs w:val="28"/>
          <w:highlight w:val="none"/>
          <w:lang w:val="en-US" w:eastAsia="zh-CN"/>
        </w:rPr>
        <w:t>，临猗县资金</w:t>
      </w:r>
      <w:r>
        <w:rPr>
          <w:rFonts w:hint="eastAsia" w:ascii="仿宋" w:hAnsi="仿宋" w:eastAsia="仿宋" w:cs="仿宋"/>
          <w:bCs/>
          <w:sz w:val="28"/>
          <w:szCs w:val="28"/>
          <w:lang w:val="en-US" w:eastAsia="zh-CN"/>
        </w:rPr>
        <w:t>承担</w:t>
      </w:r>
      <w:r>
        <w:rPr>
          <w:rFonts w:hint="eastAsia" w:ascii="仿宋" w:hAnsi="仿宋" w:eastAsia="仿宋" w:cs="仿宋"/>
          <w:bCs/>
          <w:sz w:val="28"/>
          <w:szCs w:val="28"/>
          <w:highlight w:val="none"/>
          <w:lang w:val="en-US" w:eastAsia="zh-CN"/>
        </w:rPr>
        <w:t>比例为20%。</w:t>
      </w:r>
    </w:p>
    <w:p>
      <w:pPr>
        <w:spacing w:line="560" w:lineRule="exact"/>
        <w:ind w:firstLine="560"/>
        <w:jc w:val="left"/>
        <w:rPr>
          <w:rFonts w:ascii="仿宋" w:hAnsi="仿宋" w:eastAsia="仿宋" w:cs="仿宋"/>
          <w:b/>
          <w:sz w:val="28"/>
          <w:szCs w:val="28"/>
          <w:lang w:bidi="ar"/>
        </w:rPr>
      </w:pPr>
      <w:r>
        <w:rPr>
          <w:rFonts w:hint="eastAsia" w:ascii="仿宋" w:hAnsi="仿宋" w:eastAsia="仿宋" w:cs="仿宋"/>
          <w:b/>
          <w:sz w:val="28"/>
          <w:szCs w:val="28"/>
          <w:lang w:val="en-US" w:eastAsia="zh-CN" w:bidi="ar"/>
        </w:rPr>
        <w:t>2</w:t>
      </w:r>
      <w:r>
        <w:rPr>
          <w:rFonts w:hint="eastAsia" w:ascii="仿宋" w:hAnsi="仿宋" w:eastAsia="仿宋" w:cs="仿宋"/>
          <w:b/>
          <w:sz w:val="28"/>
          <w:szCs w:val="28"/>
          <w:lang w:bidi="ar"/>
        </w:rPr>
        <w:t>.资金</w:t>
      </w:r>
      <w:r>
        <w:rPr>
          <w:rFonts w:hint="eastAsia" w:ascii="仿宋" w:hAnsi="仿宋" w:eastAsia="仿宋" w:cs="仿宋"/>
          <w:b/>
          <w:sz w:val="28"/>
          <w:szCs w:val="28"/>
          <w:lang w:eastAsia="zh-CN" w:bidi="ar"/>
        </w:rPr>
        <w:t>下达</w:t>
      </w:r>
      <w:r>
        <w:rPr>
          <w:rFonts w:hint="eastAsia" w:ascii="仿宋" w:hAnsi="仿宋" w:eastAsia="仿宋" w:cs="仿宋"/>
          <w:b/>
          <w:sz w:val="28"/>
          <w:szCs w:val="28"/>
          <w:lang w:bidi="ar"/>
        </w:rPr>
        <w:t>情况</w:t>
      </w:r>
    </w:p>
    <w:p>
      <w:pPr>
        <w:pStyle w:val="2"/>
        <w:spacing w:after="0" w:line="560" w:lineRule="exact"/>
        <w:ind w:firstLine="560" w:firstLineChars="200"/>
        <w:rPr>
          <w:rFonts w:hint="eastAsia"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eastAsia="zh-CN" w:bidi="ar"/>
        </w:rPr>
        <w:t>截至</w:t>
      </w:r>
      <w:r>
        <w:rPr>
          <w:rFonts w:hint="eastAsia" w:ascii="仿宋" w:hAnsi="仿宋" w:eastAsia="仿宋" w:cs="仿宋"/>
          <w:bCs/>
          <w:sz w:val="28"/>
          <w:szCs w:val="28"/>
          <w:highlight w:val="none"/>
          <w:lang w:val="en-US" w:eastAsia="zh-CN" w:bidi="ar"/>
        </w:rPr>
        <w:t>2020年12月31日，</w:t>
      </w:r>
      <w:r>
        <w:rPr>
          <w:rFonts w:hint="eastAsia" w:ascii="仿宋" w:hAnsi="仿宋" w:eastAsia="仿宋" w:cs="仿宋"/>
          <w:bCs/>
          <w:sz w:val="28"/>
          <w:szCs w:val="28"/>
          <w:highlight w:val="none"/>
          <w:lang w:eastAsia="zh-CN" w:bidi="ar"/>
        </w:rPr>
        <w:t>临猗县基本公共卫生服务项目下达资金</w:t>
      </w:r>
      <w:r>
        <w:rPr>
          <w:rFonts w:hint="eastAsia" w:ascii="仿宋" w:hAnsi="仿宋" w:eastAsia="仿宋" w:cs="仿宋"/>
          <w:bCs/>
          <w:sz w:val="28"/>
          <w:szCs w:val="28"/>
          <w:highlight w:val="none"/>
          <w:lang w:val="en-US" w:eastAsia="zh-CN" w:bidi="ar"/>
        </w:rPr>
        <w:t>4176.39</w:t>
      </w:r>
      <w:r>
        <w:rPr>
          <w:rFonts w:hint="eastAsia" w:ascii="仿宋" w:hAnsi="仿宋" w:eastAsia="仿宋" w:cs="仿宋"/>
          <w:bCs/>
          <w:sz w:val="28"/>
          <w:szCs w:val="28"/>
          <w:highlight w:val="none"/>
          <w:lang w:eastAsia="zh-CN" w:bidi="ar"/>
        </w:rPr>
        <w:t>万元，</w:t>
      </w:r>
      <w:r>
        <w:rPr>
          <w:rFonts w:hint="eastAsia" w:ascii="仿宋" w:hAnsi="仿宋" w:eastAsia="仿宋" w:cs="仿宋"/>
          <w:bCs/>
          <w:sz w:val="28"/>
          <w:szCs w:val="28"/>
          <w:highlight w:val="none"/>
          <w:lang w:val="en-US" w:eastAsia="zh-CN" w:bidi="ar"/>
        </w:rPr>
        <w:t>具体资金下达情况见下表：</w:t>
      </w:r>
    </w:p>
    <w:p>
      <w:pPr>
        <w:pStyle w:val="2"/>
        <w:spacing w:after="0" w:line="560" w:lineRule="exact"/>
        <w:ind w:firstLine="562" w:firstLineChars="200"/>
        <w:jc w:val="center"/>
        <w:rPr>
          <w:rFonts w:hint="eastAsia" w:ascii="仿宋" w:hAnsi="仿宋" w:eastAsia="仿宋" w:cs="仿宋"/>
          <w:b/>
          <w:bCs w:val="0"/>
          <w:sz w:val="28"/>
          <w:szCs w:val="28"/>
          <w:highlight w:val="none"/>
          <w:lang w:val="en-US" w:eastAsia="zh-CN" w:bidi="ar"/>
        </w:rPr>
      </w:pPr>
      <w:r>
        <w:rPr>
          <w:rFonts w:hint="eastAsia" w:ascii="仿宋" w:hAnsi="仿宋" w:eastAsia="仿宋" w:cs="仿宋"/>
          <w:b/>
          <w:bCs w:val="0"/>
          <w:sz w:val="28"/>
          <w:szCs w:val="28"/>
          <w:highlight w:val="none"/>
          <w:lang w:val="en-US" w:eastAsia="zh-CN" w:bidi="ar"/>
        </w:rPr>
        <w:t>表1-1：基本公卫项目2020年财政资金下达明细表</w:t>
      </w:r>
    </w:p>
    <w:p>
      <w:pPr>
        <w:pStyle w:val="2"/>
        <w:spacing w:after="0" w:line="560" w:lineRule="exact"/>
        <w:ind w:firstLine="560" w:firstLineChars="200"/>
        <w:jc w:val="right"/>
        <w:rPr>
          <w:rFonts w:hint="default"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val="en-US" w:eastAsia="zh-CN" w:bidi="ar"/>
        </w:rPr>
        <w:t>金额：元</w:t>
      </w:r>
    </w:p>
    <w:tbl>
      <w:tblPr>
        <w:tblStyle w:val="14"/>
        <w:tblW w:w="8366" w:type="dxa"/>
        <w:tblInd w:w="96" w:type="dxa"/>
        <w:shd w:val="clear" w:color="auto" w:fill="auto"/>
        <w:tblLayout w:type="fixed"/>
        <w:tblCellMar>
          <w:top w:w="0" w:type="dxa"/>
          <w:left w:w="108" w:type="dxa"/>
          <w:bottom w:w="0" w:type="dxa"/>
          <w:right w:w="108" w:type="dxa"/>
        </w:tblCellMar>
      </w:tblPr>
      <w:tblGrid>
        <w:gridCol w:w="960"/>
        <w:gridCol w:w="1420"/>
        <w:gridCol w:w="2240"/>
        <w:gridCol w:w="1864"/>
        <w:gridCol w:w="1882"/>
      </w:tblGrid>
      <w:tr>
        <w:tblPrEx>
          <w:shd w:val="clear" w:color="auto" w:fill="auto"/>
          <w:tblCellMar>
            <w:top w:w="0" w:type="dxa"/>
            <w:left w:w="108" w:type="dxa"/>
            <w:bottom w:w="0" w:type="dxa"/>
            <w:right w:w="108" w:type="dxa"/>
          </w:tblCellMar>
        </w:tblPrEx>
        <w:trPr>
          <w:trHeight w:val="539" w:hRule="atLeast"/>
          <w:tblHeader/>
        </w:trPr>
        <w:tc>
          <w:tcPr>
            <w:tcW w:w="960" w:type="dxa"/>
            <w:tcBorders>
              <w:top w:val="single" w:color="000000" w:sz="4" w:space="0"/>
              <w:left w:val="single" w:color="000000" w:sz="4" w:space="0"/>
              <w:bottom w:val="single" w:color="000000" w:sz="4" w:space="0"/>
              <w:right w:val="single" w:color="000000" w:sz="4" w:space="0"/>
            </w:tcBorders>
            <w:shd w:val="clear" w:color="auto" w:fill="D7D7D7"/>
            <w:vAlign w:val="center"/>
          </w:tcPr>
          <w:p>
            <w:pPr>
              <w:keepNext w:val="0"/>
              <w:keepLines w:val="0"/>
              <w:widowControl/>
              <w:suppressLineNumbers w:val="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资金来源</w:t>
            </w:r>
          </w:p>
        </w:tc>
        <w:tc>
          <w:tcPr>
            <w:tcW w:w="1420" w:type="dxa"/>
            <w:tcBorders>
              <w:top w:val="single" w:color="000000" w:sz="4" w:space="0"/>
              <w:left w:val="single" w:color="000000" w:sz="4" w:space="0"/>
              <w:bottom w:val="single" w:color="000000" w:sz="4" w:space="0"/>
              <w:right w:val="single" w:color="000000" w:sz="4" w:space="0"/>
            </w:tcBorders>
            <w:shd w:val="clear" w:color="auto" w:fill="D7D7D7"/>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日期</w:t>
            </w:r>
          </w:p>
        </w:tc>
        <w:tc>
          <w:tcPr>
            <w:tcW w:w="2240" w:type="dxa"/>
            <w:tcBorders>
              <w:top w:val="single" w:color="000000" w:sz="4" w:space="0"/>
              <w:left w:val="single" w:color="000000" w:sz="4" w:space="0"/>
              <w:bottom w:val="single" w:color="000000" w:sz="4" w:space="0"/>
              <w:right w:val="single" w:color="000000" w:sz="4" w:space="0"/>
            </w:tcBorders>
            <w:shd w:val="clear" w:color="auto" w:fill="D7D7D7"/>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用途</w:t>
            </w:r>
          </w:p>
        </w:tc>
        <w:tc>
          <w:tcPr>
            <w:tcW w:w="1864" w:type="dxa"/>
            <w:tcBorders>
              <w:top w:val="single" w:color="000000" w:sz="4" w:space="0"/>
              <w:left w:val="single" w:color="000000" w:sz="4" w:space="0"/>
              <w:bottom w:val="single" w:color="000000" w:sz="4" w:space="0"/>
              <w:right w:val="single" w:color="000000" w:sz="4" w:space="0"/>
            </w:tcBorders>
            <w:shd w:val="clear" w:color="auto" w:fill="D7D7D7"/>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金额</w:t>
            </w:r>
          </w:p>
        </w:tc>
        <w:tc>
          <w:tcPr>
            <w:tcW w:w="1882" w:type="dxa"/>
            <w:tcBorders>
              <w:top w:val="single" w:color="000000" w:sz="4" w:space="0"/>
              <w:left w:val="single" w:color="000000" w:sz="4" w:space="0"/>
              <w:bottom w:val="single" w:color="000000" w:sz="4" w:space="0"/>
              <w:right w:val="single" w:color="000000" w:sz="4" w:space="0"/>
            </w:tcBorders>
            <w:shd w:val="clear" w:color="auto" w:fill="D7D7D7"/>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合计</w:t>
            </w:r>
          </w:p>
        </w:tc>
      </w:tr>
      <w:tr>
        <w:tblPrEx>
          <w:shd w:val="clear" w:color="auto" w:fill="auto"/>
          <w:tblCellMar>
            <w:top w:w="0" w:type="dxa"/>
            <w:left w:w="108" w:type="dxa"/>
            <w:bottom w:w="0" w:type="dxa"/>
            <w:right w:w="108" w:type="dxa"/>
          </w:tblCellMar>
        </w:tblPrEx>
        <w:trPr>
          <w:trHeight w:val="480"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中央资金</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2020/1/16</w:t>
            </w: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基本公共卫生服务项目</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1,786,400.00</w:t>
            </w:r>
          </w:p>
        </w:tc>
        <w:tc>
          <w:tcPr>
            <w:tcW w:w="1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1,786,400.00</w:t>
            </w:r>
          </w:p>
        </w:tc>
      </w:tr>
      <w:tr>
        <w:tblPrEx>
          <w:shd w:val="clear" w:color="auto" w:fill="auto"/>
          <w:tblCellMar>
            <w:top w:w="0" w:type="dxa"/>
            <w:left w:w="108" w:type="dxa"/>
            <w:bottom w:w="0" w:type="dxa"/>
            <w:right w:w="108" w:type="dxa"/>
          </w:tblCellMar>
        </w:tblPrEx>
        <w:trPr>
          <w:trHeight w:val="4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2019/12/29</w:t>
            </w: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基本公共卫生服务项目</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18,716,400.00</w:t>
            </w:r>
          </w:p>
        </w:tc>
        <w:tc>
          <w:tcPr>
            <w:tcW w:w="1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20,127,300.00</w:t>
            </w:r>
          </w:p>
        </w:tc>
      </w:tr>
      <w:tr>
        <w:tblPrEx>
          <w:shd w:val="clear" w:color="auto" w:fill="auto"/>
          <w:tblCellMar>
            <w:top w:w="0" w:type="dxa"/>
            <w:left w:w="108" w:type="dxa"/>
            <w:bottom w:w="0" w:type="dxa"/>
            <w:right w:w="108" w:type="dxa"/>
          </w:tblCellMar>
        </w:tblPrEx>
        <w:trPr>
          <w:trHeight w:val="2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地方病防治</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259,000.00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51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重大疾病与健康危害因素检测补助资金</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117,900.00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“两癌”检查</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459,000.00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2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孕前优生健康检查</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310,000.00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51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支持计划生育免费技术服务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2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免费基本避孕手术</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110,000.00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6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健康素养促进</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35,000.00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42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随机监督抽查</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6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人口监测</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80,000.00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51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卫生健康项目监督管理</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51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2020/6/2</w:t>
            </w: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基本公共卫生服务项目</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2,286,000.00</w:t>
            </w:r>
          </w:p>
        </w:tc>
        <w:tc>
          <w:tcPr>
            <w:tcW w:w="1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2,449,000.00</w:t>
            </w:r>
          </w:p>
        </w:tc>
      </w:tr>
      <w:tr>
        <w:tblPrEx>
          <w:shd w:val="clear" w:color="auto" w:fill="auto"/>
          <w:tblCellMar>
            <w:top w:w="0" w:type="dxa"/>
            <w:left w:w="108" w:type="dxa"/>
            <w:bottom w:w="0" w:type="dxa"/>
            <w:right w:w="108" w:type="dxa"/>
          </w:tblCellMar>
        </w:tblPrEx>
        <w:trPr>
          <w:trHeight w:val="36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“两癌”检查</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158,000.00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4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孕前优生健康检查</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2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2020/7/8</w:t>
            </w: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职业病防治</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78,000.00</w:t>
            </w:r>
          </w:p>
        </w:tc>
        <w:tc>
          <w:tcPr>
            <w:tcW w:w="1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79,000.00</w:t>
            </w:r>
          </w:p>
        </w:tc>
      </w:tr>
      <w:tr>
        <w:tblPrEx>
          <w:shd w:val="clear" w:color="auto" w:fill="auto"/>
          <w:tblCellMar>
            <w:top w:w="0" w:type="dxa"/>
            <w:left w:w="108" w:type="dxa"/>
            <w:bottom w:w="0" w:type="dxa"/>
            <w:right w:w="108" w:type="dxa"/>
          </w:tblCellMar>
        </w:tblPrEx>
        <w:trPr>
          <w:trHeight w:val="6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重大疾病与健康危害因素检测补助资金</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10" w:hRule="atLeast"/>
        </w:trPr>
        <w:tc>
          <w:tcPr>
            <w:tcW w:w="2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中央资金小计</w:t>
            </w: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18"/>
                <w:szCs w:val="18"/>
                <w:u w:val="none"/>
              </w:rPr>
            </w:pPr>
          </w:p>
        </w:tc>
        <w:tc>
          <w:tcPr>
            <w:tcW w:w="37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24,441,700.00</w:t>
            </w:r>
          </w:p>
        </w:tc>
      </w:tr>
      <w:tr>
        <w:tblPrEx>
          <w:shd w:val="clear" w:color="auto" w:fill="auto"/>
          <w:tblCellMar>
            <w:top w:w="0" w:type="dxa"/>
            <w:left w:w="108" w:type="dxa"/>
            <w:bottom w:w="0" w:type="dxa"/>
            <w:right w:w="108" w:type="dxa"/>
          </w:tblCellMar>
        </w:tblPrEx>
        <w:trPr>
          <w:trHeight w:val="480"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省及资金</w:t>
            </w:r>
          </w:p>
        </w:tc>
        <w:tc>
          <w:tcPr>
            <w:tcW w:w="1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2019/12/28</w:t>
            </w: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基本公共卫生服务项目</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7,145,700.00</w:t>
            </w:r>
          </w:p>
        </w:tc>
        <w:tc>
          <w:tcPr>
            <w:tcW w:w="1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7,793,700.00</w:t>
            </w:r>
          </w:p>
        </w:tc>
      </w:tr>
      <w:tr>
        <w:tblPrEx>
          <w:shd w:val="clear" w:color="auto" w:fill="auto"/>
          <w:tblCellMar>
            <w:top w:w="0" w:type="dxa"/>
            <w:left w:w="108" w:type="dxa"/>
            <w:bottom w:w="0" w:type="dxa"/>
            <w:right w:w="108" w:type="dxa"/>
          </w:tblCellMar>
        </w:tblPrEx>
        <w:trPr>
          <w:trHeight w:val="2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地方病防治</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2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职业卫生监督</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4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卫生宣传经费</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35,000.00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4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地方公共卫生-村级计生服务员报酬</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155,000.00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2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“两癌”检查</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150,000.00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2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孕前优生健康检查</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100,000.00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1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支持计划生育免费技术服务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161,000.00</w:t>
            </w:r>
          </w:p>
        </w:tc>
        <w:tc>
          <w:tcPr>
            <w:tcW w:w="1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4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2020/1/16</w:t>
            </w: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基本公共卫生服务项目</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595,400.00</w:t>
            </w:r>
          </w:p>
        </w:tc>
        <w:tc>
          <w:tcPr>
            <w:tcW w:w="1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595,400.00</w:t>
            </w:r>
          </w:p>
        </w:tc>
      </w:tr>
      <w:tr>
        <w:tblPrEx>
          <w:tblCellMar>
            <w:top w:w="0" w:type="dxa"/>
            <w:left w:w="108" w:type="dxa"/>
            <w:bottom w:w="0" w:type="dxa"/>
            <w:right w:w="108" w:type="dxa"/>
          </w:tblCellMar>
        </w:tblPrEx>
        <w:trPr>
          <w:trHeight w:val="310" w:hRule="atLeast"/>
        </w:trPr>
        <w:tc>
          <w:tcPr>
            <w:tcW w:w="2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省级资金小计</w:t>
            </w: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37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8,389,100.00</w:t>
            </w:r>
          </w:p>
        </w:tc>
      </w:tr>
      <w:tr>
        <w:tblPrEx>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市级资金</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2020年11月11日</w:t>
            </w: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基本公共卫生服务项目</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120,000.00</w:t>
            </w:r>
          </w:p>
        </w:tc>
        <w:tc>
          <w:tcPr>
            <w:tcW w:w="1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120,000.00</w:t>
            </w:r>
          </w:p>
        </w:tc>
      </w:tr>
      <w:tr>
        <w:tblPrEx>
          <w:tblCellMar>
            <w:top w:w="0" w:type="dxa"/>
            <w:left w:w="108" w:type="dxa"/>
            <w:bottom w:w="0" w:type="dxa"/>
            <w:right w:w="108" w:type="dxa"/>
          </w:tblCellMar>
        </w:tblPrEx>
        <w:trPr>
          <w:trHeight w:val="280" w:hRule="atLeast"/>
        </w:trPr>
        <w:tc>
          <w:tcPr>
            <w:tcW w:w="2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运城市级资金小计</w:t>
            </w: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18"/>
                <w:szCs w:val="18"/>
                <w:u w:val="none"/>
              </w:rPr>
            </w:pPr>
          </w:p>
        </w:tc>
        <w:tc>
          <w:tcPr>
            <w:tcW w:w="37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120,000.00</w:t>
            </w:r>
          </w:p>
        </w:tc>
      </w:tr>
      <w:tr>
        <w:tblPrEx>
          <w:tblCellMar>
            <w:top w:w="0" w:type="dxa"/>
            <w:left w:w="108" w:type="dxa"/>
            <w:bottom w:w="0" w:type="dxa"/>
            <w:right w:w="108" w:type="dxa"/>
          </w:tblCellMar>
        </w:tblPrEx>
        <w:trPr>
          <w:trHeight w:val="480"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县级资金</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2020/1/16</w:t>
            </w: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基本公共卫生服务项目</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595,400.00</w:t>
            </w:r>
          </w:p>
        </w:tc>
        <w:tc>
          <w:tcPr>
            <w:tcW w:w="1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595,400.00</w:t>
            </w:r>
          </w:p>
        </w:tc>
      </w:tr>
      <w:tr>
        <w:tblPrEx>
          <w:tblCellMar>
            <w:top w:w="0" w:type="dxa"/>
            <w:left w:w="108" w:type="dxa"/>
            <w:bottom w:w="0" w:type="dxa"/>
            <w:right w:w="108" w:type="dxa"/>
          </w:tblCellMar>
        </w:tblPrEx>
        <w:trPr>
          <w:trHeight w:val="4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2020年4月28日</w:t>
            </w: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基本公共卫生服务项目</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8,217,700.00</w:t>
            </w:r>
          </w:p>
        </w:tc>
        <w:tc>
          <w:tcPr>
            <w:tcW w:w="1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8,217,700.00</w:t>
            </w:r>
          </w:p>
        </w:tc>
      </w:tr>
      <w:tr>
        <w:tblPrEx>
          <w:tblCellMar>
            <w:top w:w="0" w:type="dxa"/>
            <w:left w:w="108" w:type="dxa"/>
            <w:bottom w:w="0" w:type="dxa"/>
            <w:right w:w="108" w:type="dxa"/>
          </w:tblCellMar>
        </w:tblPrEx>
        <w:trPr>
          <w:trHeight w:val="280" w:hRule="atLeast"/>
        </w:trPr>
        <w:tc>
          <w:tcPr>
            <w:tcW w:w="2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县级资金小计</w:t>
            </w: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18"/>
                <w:szCs w:val="18"/>
                <w:u w:val="none"/>
              </w:rPr>
            </w:pPr>
          </w:p>
        </w:tc>
        <w:tc>
          <w:tcPr>
            <w:tcW w:w="37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8,813,100.00</w:t>
            </w:r>
          </w:p>
        </w:tc>
      </w:tr>
      <w:tr>
        <w:tblPrEx>
          <w:tblCellMar>
            <w:top w:w="0" w:type="dxa"/>
            <w:left w:w="108" w:type="dxa"/>
            <w:bottom w:w="0" w:type="dxa"/>
            <w:right w:w="108" w:type="dxa"/>
          </w:tblCellMar>
        </w:tblPrEx>
        <w:trPr>
          <w:trHeight w:val="280" w:hRule="atLeast"/>
        </w:trPr>
        <w:tc>
          <w:tcPr>
            <w:tcW w:w="2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合    计</w:t>
            </w: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仿宋" w:hAnsi="仿宋" w:eastAsia="仿宋" w:cs="仿宋"/>
                <w:i w:val="0"/>
                <w:iCs w:val="0"/>
                <w:color w:val="000000"/>
                <w:sz w:val="18"/>
                <w:szCs w:val="18"/>
                <w:u w:val="none"/>
              </w:rPr>
            </w:pPr>
          </w:p>
        </w:tc>
        <w:tc>
          <w:tcPr>
            <w:tcW w:w="37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41,763,900.00</w:t>
            </w:r>
          </w:p>
        </w:tc>
      </w:tr>
    </w:tbl>
    <w:p>
      <w:pPr>
        <w:pStyle w:val="2"/>
        <w:numPr>
          <w:ilvl w:val="0"/>
          <w:numId w:val="0"/>
        </w:numPr>
        <w:spacing w:after="0" w:line="560" w:lineRule="exact"/>
        <w:ind w:firstLine="562" w:firstLineChars="200"/>
        <w:rPr>
          <w:rFonts w:hint="eastAsia" w:ascii="仿宋" w:hAnsi="仿宋" w:eastAsia="仿宋" w:cs="仿宋"/>
          <w:b/>
          <w:bCs w:val="0"/>
          <w:sz w:val="28"/>
          <w:szCs w:val="28"/>
          <w:highlight w:val="none"/>
          <w:lang w:val="en-US" w:eastAsia="zh-CN" w:bidi="ar"/>
        </w:rPr>
      </w:pPr>
      <w:r>
        <w:rPr>
          <w:rFonts w:hint="eastAsia" w:ascii="仿宋" w:hAnsi="仿宋" w:eastAsia="仿宋" w:cs="仿宋"/>
          <w:b/>
          <w:bCs w:val="0"/>
          <w:sz w:val="28"/>
          <w:szCs w:val="28"/>
          <w:highlight w:val="none"/>
          <w:lang w:val="en-US" w:eastAsia="zh-CN" w:bidi="ar"/>
        </w:rPr>
        <w:t>3.资金分配情况</w:t>
      </w:r>
    </w:p>
    <w:p>
      <w:pPr>
        <w:pStyle w:val="2"/>
        <w:numPr>
          <w:ilvl w:val="0"/>
          <w:numId w:val="0"/>
        </w:numPr>
        <w:spacing w:after="0" w:line="560" w:lineRule="exact"/>
        <w:jc w:val="both"/>
        <w:rPr>
          <w:rFonts w:hint="default" w:ascii="仿宋" w:hAnsi="仿宋" w:eastAsia="仿宋" w:cs="仿宋"/>
          <w:b w:val="0"/>
          <w:bCs/>
          <w:sz w:val="24"/>
          <w:szCs w:val="24"/>
          <w:highlight w:val="none"/>
          <w:lang w:val="en-US" w:eastAsia="zh-CN" w:bidi="ar"/>
        </w:rPr>
      </w:pPr>
      <w:r>
        <w:rPr>
          <w:rFonts w:hint="eastAsia" w:ascii="仿宋" w:hAnsi="仿宋" w:eastAsia="仿宋" w:cs="仿宋"/>
          <w:b/>
          <w:bCs w:val="0"/>
          <w:sz w:val="24"/>
          <w:szCs w:val="24"/>
          <w:highlight w:val="none"/>
          <w:lang w:val="en-US" w:eastAsia="zh-CN" w:bidi="ar"/>
        </w:rPr>
        <w:t xml:space="preserve">   </w:t>
      </w:r>
      <w:r>
        <w:rPr>
          <w:rFonts w:hint="eastAsia" w:ascii="仿宋" w:hAnsi="仿宋" w:eastAsia="仿宋" w:cs="仿宋"/>
          <w:b w:val="0"/>
          <w:bCs/>
          <w:sz w:val="24"/>
          <w:szCs w:val="24"/>
          <w:highlight w:val="none"/>
          <w:lang w:val="en-US" w:eastAsia="zh-CN" w:bidi="ar"/>
        </w:rPr>
        <w:t>临猗县卫生健康和体育局依据基本公卫项目各具体实施单位承担的工作量进行项目资金分配，2020年资金分配情况如下：</w:t>
      </w:r>
    </w:p>
    <w:p>
      <w:pPr>
        <w:pStyle w:val="2"/>
        <w:numPr>
          <w:ilvl w:val="0"/>
          <w:numId w:val="0"/>
        </w:numPr>
        <w:spacing w:after="0" w:line="560" w:lineRule="exact"/>
        <w:jc w:val="center"/>
        <w:rPr>
          <w:rFonts w:hint="eastAsia" w:ascii="仿宋" w:hAnsi="仿宋" w:eastAsia="仿宋" w:cs="仿宋"/>
          <w:b/>
          <w:bCs w:val="0"/>
          <w:sz w:val="24"/>
          <w:szCs w:val="24"/>
          <w:highlight w:val="none"/>
          <w:lang w:val="en-US" w:eastAsia="zh-CN" w:bidi="ar"/>
        </w:rPr>
      </w:pPr>
      <w:r>
        <w:rPr>
          <w:rFonts w:hint="eastAsia" w:ascii="仿宋" w:hAnsi="仿宋" w:eastAsia="仿宋" w:cs="仿宋"/>
          <w:b/>
          <w:bCs w:val="0"/>
          <w:sz w:val="24"/>
          <w:szCs w:val="24"/>
          <w:highlight w:val="none"/>
          <w:lang w:val="en-US" w:eastAsia="zh-CN" w:bidi="ar"/>
        </w:rPr>
        <w:t>表1-2：各项目实施单位2020年基本公卫项目财政资金分配表</w:t>
      </w:r>
    </w:p>
    <w:p>
      <w:pPr>
        <w:pStyle w:val="2"/>
        <w:numPr>
          <w:ilvl w:val="0"/>
          <w:numId w:val="0"/>
        </w:numPr>
        <w:spacing w:after="0" w:line="560" w:lineRule="exact"/>
        <w:jc w:val="right"/>
        <w:rPr>
          <w:rFonts w:hint="default" w:ascii="仿宋" w:hAnsi="仿宋" w:eastAsia="仿宋" w:cs="仿宋"/>
          <w:b/>
          <w:bCs w:val="0"/>
          <w:sz w:val="24"/>
          <w:szCs w:val="24"/>
          <w:highlight w:val="none"/>
          <w:lang w:val="en-US" w:eastAsia="zh-CN" w:bidi="ar"/>
        </w:rPr>
      </w:pPr>
      <w:r>
        <w:rPr>
          <w:rFonts w:hint="eastAsia" w:ascii="仿宋" w:hAnsi="仿宋" w:eastAsia="仿宋" w:cs="仿宋"/>
          <w:b/>
          <w:bCs w:val="0"/>
          <w:sz w:val="24"/>
          <w:szCs w:val="24"/>
          <w:highlight w:val="none"/>
          <w:lang w:val="en-US" w:eastAsia="zh-CN" w:bidi="ar"/>
        </w:rPr>
        <w:t>单位：元</w:t>
      </w:r>
    </w:p>
    <w:tbl>
      <w:tblPr>
        <w:tblStyle w:val="14"/>
        <w:tblW w:w="8321" w:type="dxa"/>
        <w:tblInd w:w="0" w:type="dxa"/>
        <w:shd w:val="clear" w:color="auto" w:fill="auto"/>
        <w:tblLayout w:type="fixed"/>
        <w:tblCellMar>
          <w:top w:w="0" w:type="dxa"/>
          <w:left w:w="0" w:type="dxa"/>
          <w:bottom w:w="0" w:type="dxa"/>
          <w:right w:w="0" w:type="dxa"/>
        </w:tblCellMar>
      </w:tblPr>
      <w:tblGrid>
        <w:gridCol w:w="1961"/>
        <w:gridCol w:w="1850"/>
        <w:gridCol w:w="2740"/>
        <w:gridCol w:w="1770"/>
      </w:tblGrid>
      <w:tr>
        <w:tblPrEx>
          <w:shd w:val="clear" w:color="auto" w:fill="auto"/>
          <w:tblCellMar>
            <w:top w:w="0" w:type="dxa"/>
            <w:left w:w="0" w:type="dxa"/>
            <w:bottom w:w="0" w:type="dxa"/>
            <w:right w:w="0" w:type="dxa"/>
          </w:tblCellMar>
        </w:tblPrEx>
        <w:trPr>
          <w:trHeight w:val="56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0" w:type="dxa"/>
              <w:left w:w="10" w:type="dxa"/>
              <w:right w:w="10" w:type="dxa"/>
            </w:tcMar>
            <w:vAlign w:val="center"/>
          </w:tcPr>
          <w:p>
            <w:pPr>
              <w:keepNext w:val="0"/>
              <w:keepLines w:val="0"/>
              <w:widowControl/>
              <w:suppressLineNumbers w:val="0"/>
              <w:jc w:val="center"/>
              <w:textAlignment w:val="center"/>
              <w:rPr>
                <w:rFonts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基层单位名称</w:t>
            </w:r>
          </w:p>
        </w:tc>
        <w:tc>
          <w:tcPr>
            <w:tcW w:w="1850"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2020年分配财政资金</w:t>
            </w:r>
          </w:p>
        </w:tc>
        <w:tc>
          <w:tcPr>
            <w:tcW w:w="2740"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基层单位名称</w:t>
            </w:r>
          </w:p>
        </w:tc>
        <w:tc>
          <w:tcPr>
            <w:tcW w:w="1770"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2020年分配财政资金</w:t>
            </w:r>
          </w:p>
        </w:tc>
      </w:tr>
      <w:tr>
        <w:tblPrEx>
          <w:shd w:val="clear" w:color="auto" w:fill="auto"/>
          <w:tblCellMar>
            <w:top w:w="0" w:type="dxa"/>
            <w:left w:w="0" w:type="dxa"/>
            <w:bottom w:w="0" w:type="dxa"/>
            <w:right w:w="0" w:type="dxa"/>
          </w:tblCellMar>
        </w:tblPrEx>
        <w:trPr>
          <w:trHeight w:val="28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嵋阳</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1,672,472.00 </w:t>
            </w:r>
          </w:p>
        </w:tc>
        <w:tc>
          <w:tcPr>
            <w:tcW w:w="2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楚侯</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1,091,425.00 </w:t>
            </w:r>
          </w:p>
        </w:tc>
      </w:tr>
      <w:tr>
        <w:tblPrEx>
          <w:shd w:val="clear" w:color="auto" w:fill="auto"/>
          <w:tblCellMar>
            <w:top w:w="0" w:type="dxa"/>
            <w:left w:w="0" w:type="dxa"/>
            <w:bottom w:w="0" w:type="dxa"/>
            <w:right w:w="0" w:type="dxa"/>
          </w:tblCellMar>
        </w:tblPrEx>
        <w:trPr>
          <w:trHeight w:val="28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北景</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1,372,359.00 </w:t>
            </w:r>
          </w:p>
        </w:tc>
        <w:tc>
          <w:tcPr>
            <w:tcW w:w="2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牛杜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1,906,069.00 </w:t>
            </w:r>
          </w:p>
        </w:tc>
      </w:tr>
      <w:tr>
        <w:tblPrEx>
          <w:shd w:val="clear" w:color="auto" w:fill="auto"/>
          <w:tblCellMar>
            <w:top w:w="0" w:type="dxa"/>
            <w:left w:w="0" w:type="dxa"/>
            <w:bottom w:w="0" w:type="dxa"/>
            <w:right w:w="0" w:type="dxa"/>
          </w:tblCellMar>
        </w:tblPrEx>
        <w:trPr>
          <w:trHeight w:val="28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角杯</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1,594,232.00 </w:t>
            </w:r>
          </w:p>
        </w:tc>
        <w:tc>
          <w:tcPr>
            <w:tcW w:w="2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耽子</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1,629,081.00 </w:t>
            </w:r>
          </w:p>
        </w:tc>
      </w:tr>
      <w:tr>
        <w:tblPrEx>
          <w:shd w:val="clear" w:color="auto" w:fill="auto"/>
          <w:tblCellMar>
            <w:top w:w="0" w:type="dxa"/>
            <w:left w:w="0" w:type="dxa"/>
            <w:bottom w:w="0" w:type="dxa"/>
            <w:right w:w="0" w:type="dxa"/>
          </w:tblCellMar>
        </w:tblPrEx>
        <w:trPr>
          <w:trHeight w:val="28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庙上</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1,973,619.00 </w:t>
            </w:r>
          </w:p>
        </w:tc>
        <w:tc>
          <w:tcPr>
            <w:tcW w:w="2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猗氏</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2,033,486.00 </w:t>
            </w:r>
          </w:p>
        </w:tc>
      </w:tr>
      <w:tr>
        <w:tblPrEx>
          <w:shd w:val="clear" w:color="auto" w:fill="auto"/>
          <w:tblCellMar>
            <w:top w:w="0" w:type="dxa"/>
            <w:left w:w="0" w:type="dxa"/>
            <w:bottom w:w="0" w:type="dxa"/>
            <w:right w:w="0" w:type="dxa"/>
          </w:tblCellMar>
        </w:tblPrEx>
        <w:trPr>
          <w:trHeight w:val="28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孙吉</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2,620,561.00 </w:t>
            </w:r>
          </w:p>
        </w:tc>
        <w:tc>
          <w:tcPr>
            <w:tcW w:w="2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临晋</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1,977,446.00 </w:t>
            </w:r>
          </w:p>
        </w:tc>
      </w:tr>
      <w:tr>
        <w:tblPrEx>
          <w:shd w:val="clear" w:color="auto" w:fill="auto"/>
          <w:tblCellMar>
            <w:top w:w="0" w:type="dxa"/>
            <w:left w:w="0" w:type="dxa"/>
            <w:bottom w:w="0" w:type="dxa"/>
            <w:right w:w="0" w:type="dxa"/>
          </w:tblCellMar>
        </w:tblPrEx>
        <w:trPr>
          <w:trHeight w:val="28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北辛</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1,633,273.00 </w:t>
            </w:r>
          </w:p>
        </w:tc>
        <w:tc>
          <w:tcPr>
            <w:tcW w:w="2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县医院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554,359.50 </w:t>
            </w:r>
          </w:p>
        </w:tc>
      </w:tr>
      <w:tr>
        <w:tblPrEx>
          <w:shd w:val="clear" w:color="auto" w:fill="auto"/>
          <w:tblCellMar>
            <w:top w:w="0" w:type="dxa"/>
            <w:left w:w="0" w:type="dxa"/>
            <w:bottom w:w="0" w:type="dxa"/>
            <w:right w:w="0" w:type="dxa"/>
          </w:tblCellMar>
        </w:tblPrEx>
        <w:trPr>
          <w:trHeight w:val="28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东张</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1,767,405.00 </w:t>
            </w:r>
          </w:p>
        </w:tc>
        <w:tc>
          <w:tcPr>
            <w:tcW w:w="2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县二院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65,364.00 </w:t>
            </w:r>
          </w:p>
        </w:tc>
      </w:tr>
      <w:tr>
        <w:tblPrEx>
          <w:shd w:val="clear" w:color="auto" w:fill="auto"/>
          <w:tblCellMar>
            <w:top w:w="0" w:type="dxa"/>
            <w:left w:w="0" w:type="dxa"/>
            <w:bottom w:w="0" w:type="dxa"/>
            <w:right w:w="0" w:type="dxa"/>
          </w:tblCellMar>
        </w:tblPrEx>
        <w:trPr>
          <w:trHeight w:val="28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大闫</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1,297,110.00 </w:t>
            </w:r>
          </w:p>
        </w:tc>
        <w:tc>
          <w:tcPr>
            <w:tcW w:w="2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中医院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563,584.00 </w:t>
            </w:r>
          </w:p>
        </w:tc>
      </w:tr>
      <w:tr>
        <w:tblPrEx>
          <w:shd w:val="clear" w:color="auto" w:fill="auto"/>
          <w:tblCellMar>
            <w:top w:w="0" w:type="dxa"/>
            <w:left w:w="0" w:type="dxa"/>
            <w:bottom w:w="0" w:type="dxa"/>
            <w:right w:w="0" w:type="dxa"/>
          </w:tblCellMar>
        </w:tblPrEx>
        <w:trPr>
          <w:trHeight w:val="28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闫家庄</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1,495,644.00 </w:t>
            </w:r>
          </w:p>
        </w:tc>
        <w:tc>
          <w:tcPr>
            <w:tcW w:w="2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妇幼院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1,806,000.00 </w:t>
            </w:r>
          </w:p>
        </w:tc>
      </w:tr>
      <w:tr>
        <w:tblPrEx>
          <w:shd w:val="clear" w:color="auto" w:fill="auto"/>
          <w:tblCellMar>
            <w:top w:w="0" w:type="dxa"/>
            <w:left w:w="0" w:type="dxa"/>
            <w:bottom w:w="0" w:type="dxa"/>
            <w:right w:w="0" w:type="dxa"/>
          </w:tblCellMar>
        </w:tblPrEx>
        <w:trPr>
          <w:trHeight w:val="28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张吴</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909,376.00 </w:t>
            </w:r>
          </w:p>
        </w:tc>
        <w:tc>
          <w:tcPr>
            <w:tcW w:w="2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眼科医院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15,040.00 </w:t>
            </w:r>
          </w:p>
        </w:tc>
      </w:tr>
      <w:tr>
        <w:tblPrEx>
          <w:shd w:val="clear" w:color="auto" w:fill="auto"/>
          <w:tblCellMar>
            <w:top w:w="0" w:type="dxa"/>
            <w:left w:w="0" w:type="dxa"/>
            <w:bottom w:w="0" w:type="dxa"/>
            <w:right w:w="0" w:type="dxa"/>
          </w:tblCellMar>
        </w:tblPrEx>
        <w:trPr>
          <w:trHeight w:val="28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卓里</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771,573.00 </w:t>
            </w:r>
          </w:p>
        </w:tc>
        <w:tc>
          <w:tcPr>
            <w:tcW w:w="2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监督所</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281,400.00 </w:t>
            </w:r>
          </w:p>
        </w:tc>
      </w:tr>
      <w:tr>
        <w:tblPrEx>
          <w:shd w:val="clear" w:color="auto" w:fill="auto"/>
          <w:tblCellMar>
            <w:top w:w="0" w:type="dxa"/>
            <w:left w:w="0" w:type="dxa"/>
            <w:bottom w:w="0" w:type="dxa"/>
            <w:right w:w="0" w:type="dxa"/>
          </w:tblCellMar>
        </w:tblPrEx>
        <w:trPr>
          <w:trHeight w:val="28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李汉</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851,081.00 </w:t>
            </w:r>
          </w:p>
        </w:tc>
        <w:tc>
          <w:tcPr>
            <w:tcW w:w="2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疾控中心</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1,024,900.00 </w:t>
            </w:r>
          </w:p>
        </w:tc>
      </w:tr>
      <w:tr>
        <w:tblPrEx>
          <w:tblCellMar>
            <w:top w:w="0" w:type="dxa"/>
            <w:left w:w="0" w:type="dxa"/>
            <w:bottom w:w="0" w:type="dxa"/>
            <w:right w:w="0" w:type="dxa"/>
          </w:tblCellMar>
        </w:tblPrEx>
        <w:trPr>
          <w:trHeight w:val="28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南赵</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541,016.00 </w:t>
            </w:r>
          </w:p>
        </w:tc>
        <w:tc>
          <w:tcPr>
            <w:tcW w:w="2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医疗集团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3,360,578.00 </w:t>
            </w:r>
          </w:p>
        </w:tc>
      </w:tr>
      <w:tr>
        <w:tblPrEx>
          <w:tblCellMar>
            <w:top w:w="0" w:type="dxa"/>
            <w:left w:w="0" w:type="dxa"/>
            <w:bottom w:w="0" w:type="dxa"/>
            <w:right w:w="0" w:type="dxa"/>
          </w:tblCellMar>
        </w:tblPrEx>
        <w:trPr>
          <w:trHeight w:val="28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三管</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1,595,017.00 </w:t>
            </w:r>
          </w:p>
        </w:tc>
        <w:tc>
          <w:tcPr>
            <w:tcW w:w="2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卫生局</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812,652.00 </w:t>
            </w:r>
          </w:p>
        </w:tc>
      </w:tr>
      <w:tr>
        <w:tblPrEx>
          <w:tblCellMar>
            <w:top w:w="0" w:type="dxa"/>
            <w:left w:w="0" w:type="dxa"/>
            <w:bottom w:w="0" w:type="dxa"/>
            <w:right w:w="0" w:type="dxa"/>
          </w:tblCellMar>
        </w:tblPrEx>
        <w:trPr>
          <w:trHeight w:val="28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七级</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1,870,110.00 </w:t>
            </w:r>
          </w:p>
        </w:tc>
        <w:tc>
          <w:tcPr>
            <w:tcW w:w="2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right"/>
              <w:textAlignment w:val="center"/>
              <w:rPr>
                <w:rFonts w:hint="eastAsia" w:ascii="仿宋" w:hAnsi="仿宋" w:eastAsia="仿宋" w:cs="仿宋"/>
                <w:i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 </w:t>
            </w:r>
          </w:p>
        </w:tc>
      </w:tr>
      <w:tr>
        <w:tblPrEx>
          <w:tblCellMar>
            <w:top w:w="0" w:type="dxa"/>
            <w:left w:w="0" w:type="dxa"/>
            <w:bottom w:w="0" w:type="dxa"/>
            <w:right w:w="0" w:type="dxa"/>
          </w:tblCellMar>
        </w:tblPrEx>
        <w:trPr>
          <w:trHeight w:val="280" w:hRule="atLeast"/>
        </w:trPr>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仿宋" w:hAnsi="仿宋" w:eastAsia="仿宋" w:cs="仿宋"/>
                <w:i w:val="0"/>
                <w:color w:val="000000"/>
                <w:sz w:val="18"/>
                <w:szCs w:val="18"/>
                <w:u w:val="none"/>
                <w:lang w:val="en-US" w:eastAsia="zh-CN"/>
              </w:rPr>
            </w:pPr>
            <w:r>
              <w:rPr>
                <w:rFonts w:hint="eastAsia" w:ascii="仿宋" w:hAnsi="仿宋" w:eastAsia="仿宋" w:cs="仿宋"/>
                <w:b/>
                <w:bCs/>
                <w:i w:val="0"/>
                <w:color w:val="000000"/>
                <w:sz w:val="18"/>
                <w:szCs w:val="18"/>
                <w:u w:val="none"/>
                <w:lang w:val="en-US" w:eastAsia="zh-CN"/>
              </w:rPr>
              <w:t>分配资金合计</w:t>
            </w:r>
          </w:p>
        </w:tc>
        <w:tc>
          <w:tcPr>
            <w:tcW w:w="636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仿宋" w:hAnsi="仿宋" w:eastAsia="仿宋" w:cs="仿宋"/>
                <w:i w:val="0"/>
                <w:color w:val="000000"/>
                <w:sz w:val="18"/>
                <w:szCs w:val="18"/>
                <w:u w:val="none"/>
                <w:lang w:val="en-US" w:eastAsia="zh-CN"/>
              </w:rPr>
            </w:pPr>
            <w:r>
              <w:rPr>
                <w:rFonts w:hint="eastAsia" w:ascii="仿宋" w:hAnsi="仿宋" w:eastAsia="仿宋" w:cs="仿宋"/>
                <w:i w:val="0"/>
                <w:iCs w:val="0"/>
                <w:color w:val="000000"/>
                <w:kern w:val="0"/>
                <w:sz w:val="18"/>
                <w:szCs w:val="18"/>
                <w:u w:val="none"/>
                <w:lang w:val="en-US" w:eastAsia="zh-CN" w:bidi="ar"/>
              </w:rPr>
              <w:t>39,086,232.50</w:t>
            </w:r>
          </w:p>
        </w:tc>
      </w:tr>
    </w:tbl>
    <w:p>
      <w:pPr>
        <w:pStyle w:val="2"/>
        <w:numPr>
          <w:ilvl w:val="0"/>
          <w:numId w:val="0"/>
        </w:numPr>
        <w:spacing w:after="0" w:line="560" w:lineRule="exact"/>
        <w:rPr>
          <w:rFonts w:hint="default" w:ascii="仿宋" w:hAnsi="仿宋" w:eastAsia="仿宋" w:cs="仿宋"/>
          <w:bCs/>
          <w:sz w:val="28"/>
          <w:szCs w:val="28"/>
          <w:highlight w:val="none"/>
          <w:lang w:val="en-US" w:eastAsia="zh-CN" w:bidi="ar"/>
        </w:rPr>
      </w:pPr>
      <w:r>
        <w:rPr>
          <w:rFonts w:hint="eastAsia" w:ascii="仿宋" w:hAnsi="仿宋" w:eastAsia="仿宋" w:cs="仿宋"/>
          <w:b/>
          <w:bCs w:val="0"/>
          <w:sz w:val="28"/>
          <w:szCs w:val="28"/>
          <w:highlight w:val="none"/>
          <w:lang w:val="en-US" w:eastAsia="zh-CN" w:bidi="ar"/>
        </w:rPr>
        <w:t xml:space="preserve">   </w:t>
      </w:r>
      <w:r>
        <w:rPr>
          <w:rFonts w:hint="eastAsia" w:ascii="仿宋" w:hAnsi="仿宋" w:eastAsia="仿宋" w:cs="仿宋"/>
          <w:bCs/>
          <w:sz w:val="28"/>
          <w:szCs w:val="28"/>
          <w:highlight w:val="none"/>
          <w:lang w:val="en-US" w:eastAsia="zh-CN" w:bidi="ar"/>
        </w:rPr>
        <w:t xml:space="preserve"> 2020年分配的项目资金39,086,232.50元,其中有378,374.75元为使用的2019年项目资金结余。</w:t>
      </w:r>
    </w:p>
    <w:p>
      <w:pPr>
        <w:pStyle w:val="2"/>
        <w:spacing w:after="0" w:line="560" w:lineRule="exact"/>
        <w:ind w:firstLine="562" w:firstLineChars="200"/>
        <w:rPr>
          <w:rFonts w:hint="default" w:ascii="仿宋" w:hAnsi="仿宋" w:eastAsia="仿宋" w:cs="仿宋"/>
          <w:b/>
          <w:bCs w:val="0"/>
          <w:sz w:val="28"/>
          <w:szCs w:val="28"/>
          <w:highlight w:val="none"/>
          <w:lang w:val="en-US" w:eastAsia="zh-CN" w:bidi="ar"/>
        </w:rPr>
      </w:pPr>
      <w:r>
        <w:rPr>
          <w:rFonts w:hint="eastAsia" w:ascii="仿宋" w:hAnsi="仿宋" w:eastAsia="仿宋" w:cs="仿宋"/>
          <w:b/>
          <w:bCs w:val="0"/>
          <w:sz w:val="28"/>
          <w:szCs w:val="28"/>
          <w:highlight w:val="none"/>
          <w:lang w:val="en-US" w:eastAsia="zh-CN" w:bidi="ar"/>
        </w:rPr>
        <w:t>4.资金支付情况</w:t>
      </w:r>
    </w:p>
    <w:bookmarkEnd w:id="33"/>
    <w:p>
      <w:pPr>
        <w:pStyle w:val="2"/>
        <w:spacing w:after="0" w:line="560" w:lineRule="exact"/>
        <w:ind w:firstLine="560" w:firstLineChars="200"/>
        <w:rPr>
          <w:rFonts w:hint="eastAsia" w:ascii="仿宋" w:hAnsi="仿宋" w:eastAsia="仿宋" w:cs="仿宋"/>
          <w:bCs/>
          <w:sz w:val="28"/>
          <w:szCs w:val="28"/>
          <w:highlight w:val="none"/>
          <w:lang w:eastAsia="zh-CN" w:bidi="ar"/>
        </w:rPr>
      </w:pPr>
      <w:bookmarkStart w:id="34" w:name="_Toc10483_WPSOffice_Level2"/>
      <w:bookmarkStart w:id="35" w:name="_Toc11273_WPSOffice_Level2"/>
      <w:bookmarkStart w:id="36" w:name="_Toc23522_WPSOffice_Level2"/>
      <w:bookmarkStart w:id="37" w:name="_Toc8165_WPSOffice_Level2"/>
      <w:bookmarkStart w:id="38" w:name="_Toc17644_WPSOffice_Level2"/>
      <w:bookmarkStart w:id="39" w:name="_Toc1280_WPSOffice_Level2"/>
      <w:bookmarkStart w:id="40" w:name="_Toc19468_WPSOffice_Level2"/>
      <w:bookmarkStart w:id="41" w:name="_Toc17147_WPSOffice_Level2"/>
      <w:bookmarkStart w:id="42" w:name="_Toc17405"/>
      <w:bookmarkStart w:id="43" w:name="_Toc966_WPSOffice_Level2"/>
      <w:bookmarkStart w:id="44" w:name="_Toc9337_WPSOffice_Level2"/>
      <w:bookmarkStart w:id="45" w:name="_Toc19653_WPSOffice_Level2"/>
      <w:r>
        <w:rPr>
          <w:rFonts w:hint="eastAsia" w:ascii="仿宋" w:hAnsi="仿宋" w:eastAsia="仿宋" w:cs="仿宋"/>
          <w:bCs/>
          <w:sz w:val="28"/>
          <w:szCs w:val="28"/>
          <w:highlight w:val="none"/>
          <w:lang w:val="en-US" w:eastAsia="zh-CN" w:bidi="ar"/>
        </w:rPr>
        <w:t>截至绩效评价日，该项目共计支付36,739,209.75元，结余资金5,024,690.25元。资金涉及20</w:t>
      </w:r>
      <w:r>
        <w:rPr>
          <w:rFonts w:hint="eastAsia" w:ascii="仿宋" w:hAnsi="仿宋" w:eastAsia="仿宋" w:cs="仿宋"/>
          <w:bCs/>
          <w:sz w:val="28"/>
          <w:szCs w:val="28"/>
          <w:highlight w:val="none"/>
          <w:lang w:eastAsia="zh-CN" w:bidi="ar"/>
        </w:rPr>
        <w:t>个乡镇卫生院</w:t>
      </w:r>
      <w:r>
        <w:rPr>
          <w:rFonts w:hint="eastAsia" w:ascii="仿宋" w:hAnsi="仿宋" w:eastAsia="仿宋" w:cs="仿宋"/>
          <w:bCs/>
          <w:sz w:val="28"/>
          <w:szCs w:val="28"/>
          <w:highlight w:val="none"/>
          <w:lang w:val="en-US" w:eastAsia="zh-CN" w:bidi="ar"/>
        </w:rPr>
        <w:t>及下属的村卫生室和10</w:t>
      </w:r>
      <w:r>
        <w:rPr>
          <w:rFonts w:hint="eastAsia" w:ascii="仿宋" w:hAnsi="仿宋" w:eastAsia="仿宋" w:cs="仿宋"/>
          <w:bCs/>
          <w:sz w:val="28"/>
          <w:szCs w:val="28"/>
          <w:highlight w:val="none"/>
          <w:lang w:eastAsia="zh-CN" w:bidi="ar"/>
        </w:rPr>
        <w:t>个专业服务机构。</w:t>
      </w:r>
    </w:p>
    <w:p>
      <w:pPr>
        <w:spacing w:line="560" w:lineRule="exact"/>
        <w:ind w:firstLine="562" w:firstLineChars="200"/>
        <w:outlineLvl w:val="1"/>
        <w:rPr>
          <w:rFonts w:ascii="仿宋" w:hAnsi="仿宋" w:eastAsia="仿宋" w:cs="仿宋"/>
          <w:b/>
          <w:bCs/>
          <w:sz w:val="28"/>
          <w:szCs w:val="28"/>
        </w:rPr>
      </w:pPr>
      <w:r>
        <w:rPr>
          <w:rFonts w:hint="eastAsia" w:ascii="仿宋" w:hAnsi="仿宋" w:eastAsia="仿宋" w:cs="仿宋"/>
          <w:b/>
          <w:bCs/>
          <w:sz w:val="28"/>
          <w:szCs w:val="28"/>
        </w:rPr>
        <w:t>（三）项目绩效目标</w:t>
      </w:r>
      <w:bookmarkEnd w:id="34"/>
      <w:bookmarkEnd w:id="35"/>
      <w:bookmarkEnd w:id="36"/>
      <w:bookmarkEnd w:id="37"/>
      <w:bookmarkEnd w:id="38"/>
      <w:bookmarkEnd w:id="39"/>
      <w:bookmarkEnd w:id="40"/>
      <w:bookmarkEnd w:id="41"/>
      <w:bookmarkEnd w:id="42"/>
    </w:p>
    <w:p>
      <w:pPr>
        <w:spacing w:line="560" w:lineRule="exact"/>
        <w:ind w:firstLine="562" w:firstLineChars="200"/>
        <w:rPr>
          <w:rFonts w:ascii="仿宋" w:hAnsi="仿宋" w:eastAsia="仿宋" w:cs="仿宋"/>
          <w:b/>
          <w:bCs/>
          <w:sz w:val="28"/>
          <w:szCs w:val="28"/>
          <w:lang w:bidi="ar"/>
        </w:rPr>
      </w:pPr>
      <w:bookmarkStart w:id="46" w:name="_Toc19816_WPSOffice_Level3"/>
      <w:bookmarkStart w:id="47" w:name="_Toc27762_WPSOffice_Level3"/>
      <w:r>
        <w:rPr>
          <w:rFonts w:hint="eastAsia" w:ascii="仿宋" w:hAnsi="仿宋" w:eastAsia="仿宋" w:cs="仿宋"/>
          <w:b/>
          <w:bCs/>
          <w:sz w:val="28"/>
          <w:szCs w:val="28"/>
          <w:lang w:bidi="ar"/>
        </w:rPr>
        <w:t>1.项目总体绩效目标</w:t>
      </w:r>
      <w:bookmarkEnd w:id="46"/>
      <w:bookmarkEnd w:id="47"/>
    </w:p>
    <w:p>
      <w:pPr>
        <w:spacing w:line="560" w:lineRule="exact"/>
        <w:ind w:firstLine="560" w:firstLineChars="200"/>
        <w:rPr>
          <w:rFonts w:hint="eastAsia" w:ascii="仿宋" w:hAnsi="仿宋" w:eastAsia="仿宋" w:cs="仿宋"/>
          <w:bCs/>
          <w:sz w:val="28"/>
          <w:szCs w:val="28"/>
          <w:lang w:bidi="ar"/>
        </w:rPr>
      </w:pPr>
      <w:r>
        <w:rPr>
          <w:rFonts w:hint="eastAsia" w:ascii="仿宋" w:hAnsi="仿宋" w:eastAsia="仿宋" w:cs="仿宋"/>
          <w:bCs/>
          <w:sz w:val="28"/>
          <w:szCs w:val="28"/>
          <w:lang w:val="en-US" w:eastAsia="zh-CN" w:bidi="ar"/>
        </w:rPr>
        <w:t>实现</w:t>
      </w:r>
      <w:r>
        <w:rPr>
          <w:rFonts w:hint="eastAsia" w:ascii="仿宋" w:hAnsi="仿宋" w:eastAsia="仿宋" w:cs="仿宋"/>
          <w:bCs/>
          <w:sz w:val="28"/>
          <w:szCs w:val="28"/>
          <w:lang w:bidi="ar"/>
        </w:rPr>
        <w:t>基本公共卫生服务逐步均等化的机制基本完善，重大疾病和主要健康危险因素得到有效控制，城乡居民健康水平得到进一步提高。</w:t>
      </w:r>
    </w:p>
    <w:p>
      <w:pPr>
        <w:spacing w:line="560" w:lineRule="exact"/>
        <w:ind w:firstLine="562" w:firstLineChars="200"/>
        <w:rPr>
          <w:rFonts w:ascii="仿宋" w:hAnsi="仿宋" w:eastAsia="仿宋" w:cs="仿宋"/>
          <w:b/>
          <w:bCs/>
          <w:sz w:val="28"/>
          <w:szCs w:val="28"/>
          <w:lang w:bidi="ar"/>
        </w:rPr>
      </w:pPr>
      <w:r>
        <w:rPr>
          <w:rFonts w:hint="eastAsia" w:ascii="仿宋" w:hAnsi="仿宋" w:eastAsia="仿宋" w:cs="仿宋"/>
          <w:b/>
          <w:bCs/>
          <w:sz w:val="28"/>
          <w:szCs w:val="28"/>
          <w:lang w:bidi="ar"/>
        </w:rPr>
        <w:t>2.20</w:t>
      </w:r>
      <w:r>
        <w:rPr>
          <w:rFonts w:hint="eastAsia" w:ascii="仿宋" w:hAnsi="仿宋" w:eastAsia="仿宋" w:cs="仿宋"/>
          <w:b/>
          <w:bCs/>
          <w:sz w:val="28"/>
          <w:szCs w:val="28"/>
          <w:lang w:val="en-US" w:eastAsia="zh-CN" w:bidi="ar"/>
        </w:rPr>
        <w:t>20</w:t>
      </w:r>
      <w:r>
        <w:rPr>
          <w:rFonts w:hint="eastAsia" w:ascii="仿宋" w:hAnsi="仿宋" w:eastAsia="仿宋" w:cs="仿宋"/>
          <w:b/>
          <w:bCs/>
          <w:sz w:val="28"/>
          <w:szCs w:val="28"/>
          <w:lang w:bidi="ar"/>
        </w:rPr>
        <w:t>年年度目标</w:t>
      </w:r>
    </w:p>
    <w:p>
      <w:pPr>
        <w:widowControl/>
        <w:numPr>
          <w:ilvl w:val="0"/>
          <w:numId w:val="0"/>
        </w:numPr>
        <w:spacing w:line="560" w:lineRule="exact"/>
        <w:ind w:firstLine="560" w:firstLineChars="200"/>
        <w:rPr>
          <w:rFonts w:hint="default" w:ascii="仿宋" w:hAnsi="仿宋" w:eastAsia="仿宋" w:cs="仿宋"/>
          <w:b w:val="0"/>
          <w:bCs/>
          <w:sz w:val="28"/>
          <w:szCs w:val="28"/>
          <w:highlight w:val="none"/>
          <w:lang w:val="en-US" w:eastAsia="zh-CN" w:bidi="ar"/>
        </w:rPr>
      </w:pPr>
      <w:bookmarkStart w:id="48" w:name="_Toc31100"/>
      <w:r>
        <w:rPr>
          <w:rFonts w:hint="eastAsia" w:ascii="仿宋" w:hAnsi="仿宋" w:eastAsia="仿宋" w:cs="仿宋"/>
          <w:b w:val="0"/>
          <w:bCs/>
          <w:sz w:val="28"/>
          <w:szCs w:val="28"/>
          <w:highlight w:val="none"/>
          <w:lang w:val="en-US" w:eastAsia="zh-CN" w:bidi="ar"/>
        </w:rPr>
        <w:t>（1）免费向居民提供基本公共卫生服务。</w:t>
      </w:r>
    </w:p>
    <w:p>
      <w:pPr>
        <w:widowControl/>
        <w:numPr>
          <w:ilvl w:val="0"/>
          <w:numId w:val="0"/>
        </w:numPr>
        <w:spacing w:line="560" w:lineRule="exact"/>
        <w:ind w:firstLine="560" w:firstLineChars="200"/>
        <w:outlineLvl w:val="1"/>
        <w:rPr>
          <w:rFonts w:hint="eastAsia" w:ascii="仿宋" w:hAnsi="仿宋" w:eastAsia="仿宋" w:cs="仿宋"/>
          <w:b w:val="0"/>
          <w:bCs/>
          <w:sz w:val="28"/>
          <w:szCs w:val="28"/>
          <w:highlight w:val="none"/>
          <w:lang w:val="en-US" w:eastAsia="zh-CN" w:bidi="ar"/>
        </w:rPr>
      </w:pPr>
      <w:r>
        <w:rPr>
          <w:rFonts w:hint="eastAsia" w:ascii="仿宋" w:hAnsi="仿宋" w:eastAsia="仿宋" w:cs="仿宋"/>
          <w:b w:val="0"/>
          <w:bCs/>
          <w:sz w:val="28"/>
          <w:szCs w:val="28"/>
          <w:highlight w:val="none"/>
          <w:lang w:val="en-US" w:eastAsia="zh-CN" w:bidi="ar"/>
        </w:rPr>
        <w:t>（2）开展对重点疾病及危害因素监测，有效控制疾病流行，为制订相关政策提供科学依据。助力国家脱贫攻坚，保持重点地方病防治措施全面落实。开展职业病监测，最大限度的保护放射工作人员、患者和公众的健康权益。同时推进妇幼卫生、健康素养促进、医养结合和老年健康服务、卫生应急、计划生育等方面工作。</w:t>
      </w:r>
    </w:p>
    <w:p>
      <w:pPr>
        <w:widowControl/>
        <w:numPr>
          <w:ilvl w:val="0"/>
          <w:numId w:val="0"/>
        </w:numPr>
        <w:spacing w:line="560" w:lineRule="exact"/>
        <w:ind w:firstLine="562" w:firstLineChars="200"/>
        <w:outlineLvl w:val="1"/>
        <w:rPr>
          <w:rFonts w:hint="eastAsia" w:ascii="仿宋" w:hAnsi="仿宋" w:eastAsia="仿宋" w:cs="仿宋"/>
          <w:b/>
          <w:bCs w:val="0"/>
          <w:sz w:val="28"/>
          <w:szCs w:val="28"/>
          <w:lang w:val="en-US" w:eastAsia="zh-CN" w:bidi="ar"/>
        </w:rPr>
      </w:pPr>
      <w:r>
        <w:rPr>
          <w:rFonts w:hint="eastAsia" w:ascii="仿宋" w:hAnsi="仿宋" w:eastAsia="仿宋" w:cs="仿宋"/>
          <w:b/>
          <w:bCs w:val="0"/>
          <w:sz w:val="28"/>
          <w:szCs w:val="28"/>
          <w:lang w:val="en-US" w:eastAsia="zh-CN" w:bidi="ar"/>
        </w:rPr>
        <w:t>（四）项目实施情况</w:t>
      </w:r>
      <w:bookmarkEnd w:id="48"/>
    </w:p>
    <w:bookmarkEnd w:id="43"/>
    <w:bookmarkEnd w:id="44"/>
    <w:bookmarkEnd w:id="45"/>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ascii="仿宋" w:hAnsi="仿宋" w:eastAsia="仿宋" w:cs="仿宋"/>
          <w:b/>
          <w:bCs/>
          <w:sz w:val="28"/>
          <w:szCs w:val="28"/>
          <w:lang w:bidi="ar"/>
        </w:rPr>
      </w:pPr>
      <w:bookmarkStart w:id="49" w:name="_Toc18495_WPSOffice_Level3"/>
      <w:bookmarkStart w:id="50" w:name="_Toc9337_WPSOffice_Level1"/>
      <w:bookmarkStart w:id="51" w:name="_Toc966_WPSOffice_Level1"/>
      <w:bookmarkStart w:id="52" w:name="_Toc10059"/>
      <w:bookmarkStart w:id="53" w:name="_Toc29367_WPSOffice_Level1"/>
      <w:r>
        <w:rPr>
          <w:rFonts w:hint="eastAsia" w:ascii="仿宋" w:hAnsi="仿宋" w:eastAsia="仿宋" w:cs="仿宋"/>
          <w:b/>
          <w:bCs/>
          <w:sz w:val="28"/>
          <w:szCs w:val="28"/>
          <w:lang w:val="en-US" w:eastAsia="zh-CN" w:bidi="ar"/>
        </w:rPr>
        <w:t>1.</w:t>
      </w:r>
      <w:r>
        <w:rPr>
          <w:rFonts w:hint="eastAsia" w:ascii="仿宋" w:hAnsi="仿宋" w:eastAsia="仿宋" w:cs="仿宋"/>
          <w:b/>
          <w:bCs/>
          <w:sz w:val="28"/>
          <w:szCs w:val="28"/>
          <w:lang w:bidi="ar"/>
        </w:rPr>
        <w:t>资金拨款部门及职责：</w:t>
      </w:r>
      <w:bookmarkEnd w:id="49"/>
    </w:p>
    <w:p>
      <w:pPr>
        <w:spacing w:line="560" w:lineRule="exact"/>
        <w:ind w:firstLine="560" w:firstLineChars="200"/>
        <w:rPr>
          <w:rFonts w:ascii="仿宋" w:hAnsi="仿宋" w:eastAsia="仿宋" w:cs="仿宋"/>
          <w:sz w:val="28"/>
          <w:szCs w:val="28"/>
        </w:rPr>
      </w:pPr>
      <w:r>
        <w:rPr>
          <w:rFonts w:hint="eastAsia" w:ascii="仿宋" w:hAnsi="仿宋" w:eastAsia="仿宋" w:cs="仿宋"/>
          <w:bCs/>
          <w:sz w:val="28"/>
          <w:szCs w:val="28"/>
          <w:lang w:eastAsia="zh-CN" w:bidi="ar"/>
        </w:rPr>
        <w:t>临猗县财政局</w:t>
      </w:r>
      <w:r>
        <w:rPr>
          <w:rFonts w:hint="eastAsia" w:ascii="仿宋" w:hAnsi="仿宋" w:eastAsia="仿宋" w:cs="仿宋"/>
          <w:bCs/>
          <w:sz w:val="28"/>
          <w:szCs w:val="28"/>
          <w:lang w:bidi="ar"/>
        </w:rPr>
        <w:t>，负责审批、</w:t>
      </w:r>
      <w:r>
        <w:rPr>
          <w:rFonts w:hint="eastAsia" w:ascii="仿宋" w:hAnsi="仿宋" w:eastAsia="仿宋" w:cs="仿宋"/>
          <w:sz w:val="28"/>
          <w:szCs w:val="28"/>
        </w:rPr>
        <w:t>拨付预算资金，对专项资金的使用进行监管，组织开展绩效评价工作等。</w:t>
      </w:r>
    </w:p>
    <w:p>
      <w:pPr>
        <w:spacing w:line="560" w:lineRule="exact"/>
        <w:ind w:firstLine="560"/>
        <w:rPr>
          <w:rFonts w:ascii="仿宋" w:hAnsi="仿宋" w:eastAsia="仿宋" w:cs="仿宋"/>
          <w:b/>
          <w:sz w:val="28"/>
          <w:szCs w:val="28"/>
        </w:rPr>
      </w:pPr>
      <w:bookmarkStart w:id="54" w:name="_Toc341_WPSOffice_Level3"/>
      <w:r>
        <w:rPr>
          <w:rFonts w:hint="eastAsia" w:ascii="仿宋" w:hAnsi="仿宋" w:eastAsia="仿宋" w:cs="仿宋"/>
          <w:b/>
          <w:sz w:val="28"/>
          <w:szCs w:val="28"/>
          <w:lang w:val="en-US" w:eastAsia="zh-CN"/>
        </w:rPr>
        <w:t>2.</w:t>
      </w:r>
      <w:r>
        <w:rPr>
          <w:rFonts w:hint="eastAsia" w:ascii="仿宋" w:hAnsi="仿宋" w:eastAsia="仿宋" w:cs="仿宋"/>
          <w:b/>
          <w:sz w:val="28"/>
          <w:szCs w:val="28"/>
        </w:rPr>
        <w:t>项目主管部门、项目实施单位及职责：</w:t>
      </w:r>
      <w:bookmarkEnd w:id="54"/>
    </w:p>
    <w:p>
      <w:pPr>
        <w:spacing w:line="56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临猗县卫生健康和体育局</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是全县</w:t>
      </w:r>
      <w:r>
        <w:rPr>
          <w:rFonts w:hint="eastAsia" w:ascii="仿宋" w:hAnsi="仿宋" w:eastAsia="仿宋" w:cs="仿宋"/>
          <w:sz w:val="28"/>
          <w:szCs w:val="28"/>
          <w:highlight w:val="none"/>
        </w:rPr>
        <w:t>基本公共卫生服务项目</w:t>
      </w:r>
      <w:r>
        <w:rPr>
          <w:rFonts w:hint="eastAsia" w:ascii="仿宋" w:hAnsi="仿宋" w:eastAsia="仿宋" w:cs="仿宋"/>
          <w:sz w:val="28"/>
          <w:szCs w:val="28"/>
          <w:highlight w:val="none"/>
          <w:lang w:val="en-US" w:eastAsia="zh-CN"/>
        </w:rPr>
        <w:t>的责任主体，主要负责明确年度项目工作任务、职责分工、流程规范；完善绩效评价与资金拨付制度，做好补助经费预算、预拨与核算工作；负责项目实施单位的工作监督和考核；对项目实施效果进行评价并对绩铲评价结果进行运用。</w:t>
      </w:r>
    </w:p>
    <w:p>
      <w:pPr>
        <w:pStyle w:val="2"/>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default" w:eastAsia="仿宋"/>
          <w:lang w:val="en-US" w:eastAsia="zh-CN"/>
        </w:rPr>
      </w:pPr>
      <w:r>
        <w:rPr>
          <w:rFonts w:hint="eastAsia" w:ascii="仿宋" w:hAnsi="仿宋" w:eastAsia="仿宋" w:cs="仿宋"/>
          <w:sz w:val="28"/>
          <w:szCs w:val="28"/>
          <w:highlight w:val="none"/>
          <w:lang w:val="en-US" w:eastAsia="zh-CN"/>
        </w:rPr>
        <w:t>临猗县医疗集团，牵头总抓医疗集团各公卫项目实施单位公卫工作，负责组织所有项目综合管理、督导、考核、协调。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highlight w:val="none"/>
          <w:lang w:val="en-US" w:eastAsia="zh-CN"/>
        </w:rPr>
      </w:pPr>
      <w:bookmarkStart w:id="55" w:name="_Toc9017_WPSOffice_Level2"/>
      <w:bookmarkStart w:id="56" w:name="_Toc30269_WPSOffice_Level2"/>
      <w:bookmarkStart w:id="57" w:name="_Toc30914_WPSOffice_Level2"/>
      <w:r>
        <w:rPr>
          <w:rFonts w:hint="eastAsia" w:ascii="仿宋" w:hAnsi="仿宋" w:eastAsia="仿宋" w:cs="仿宋"/>
          <w:b w:val="0"/>
          <w:bCs w:val="0"/>
          <w:sz w:val="28"/>
          <w:szCs w:val="28"/>
          <w:highlight w:val="none"/>
          <w:lang w:val="en-US" w:eastAsia="zh-CN"/>
        </w:rPr>
        <w:t>临猗县各乡镇卫生院、村卫生室是基本公共卫生服务项目的具体实施单位，负责基本公共卫生服务项目的指导、开展、落实和部分监督。</w:t>
      </w:r>
    </w:p>
    <w:p>
      <w:pPr>
        <w:pStyle w:val="2"/>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 xml:space="preserve">    医疗专业服务机构（疾控、妇幼、卫生监督、中医院）负责履行各自职责范围内的全县基本公共卫生服务项目的技术指导、专业培训、督导考核及项部分项目的实施工作。</w:t>
      </w:r>
    </w:p>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利益相关方</w:t>
      </w:r>
      <w:bookmarkEnd w:id="55"/>
      <w:bookmarkEnd w:id="56"/>
      <w:bookmarkEnd w:id="57"/>
    </w:p>
    <w:p>
      <w:pPr>
        <w:spacing w:line="560" w:lineRule="exact"/>
        <w:ind w:firstLine="560" w:firstLineChars="200"/>
        <w:rPr>
          <w:rFonts w:ascii="仿宋" w:hAnsi="仿宋" w:eastAsia="仿宋" w:cs="仿宋"/>
          <w:bCs/>
          <w:sz w:val="28"/>
          <w:szCs w:val="28"/>
          <w:lang w:bidi="ar"/>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rPr>
        <w:t>项目拨款部门：</w:t>
      </w:r>
      <w:r>
        <w:rPr>
          <w:rFonts w:hint="eastAsia" w:ascii="仿宋" w:hAnsi="仿宋" w:eastAsia="仿宋" w:cs="仿宋"/>
          <w:sz w:val="28"/>
          <w:szCs w:val="28"/>
          <w:lang w:eastAsia="zh-CN"/>
        </w:rPr>
        <w:t>临猗县财政局</w:t>
      </w:r>
      <w:r>
        <w:rPr>
          <w:rFonts w:hint="eastAsia" w:ascii="仿宋" w:hAnsi="仿宋" w:eastAsia="仿宋" w:cs="仿宋"/>
          <w:sz w:val="28"/>
          <w:szCs w:val="28"/>
        </w:rPr>
        <w:t>。</w:t>
      </w:r>
    </w:p>
    <w:p>
      <w:pPr>
        <w:spacing w:line="560" w:lineRule="exact"/>
        <w:ind w:firstLine="560" w:firstLineChars="200"/>
        <w:rPr>
          <w:rFonts w:ascii="仿宋" w:hAnsi="仿宋" w:eastAsia="仿宋" w:cs="仿宋"/>
          <w:bCs/>
          <w:sz w:val="28"/>
          <w:szCs w:val="28"/>
          <w:highlight w:val="none"/>
          <w:lang w:bidi="ar"/>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rPr>
        <w:t>项目主管部门</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临猗县卫生健康和体育局</w:t>
      </w:r>
      <w:r>
        <w:rPr>
          <w:rFonts w:hint="eastAsia" w:ascii="仿宋" w:hAnsi="仿宋" w:eastAsia="仿宋" w:cs="仿宋"/>
          <w:sz w:val="28"/>
          <w:szCs w:val="28"/>
          <w:highlight w:val="none"/>
        </w:rPr>
        <w:t>。</w:t>
      </w:r>
    </w:p>
    <w:p>
      <w:pPr>
        <w:spacing w:line="560" w:lineRule="exact"/>
        <w:ind w:firstLine="560" w:firstLineChars="200"/>
        <w:rPr>
          <w:rFonts w:ascii="仿宋" w:hAnsi="仿宋" w:eastAsia="仿宋" w:cs="仿宋"/>
          <w:bCs/>
          <w:sz w:val="28"/>
          <w:szCs w:val="28"/>
          <w:highlight w:val="none"/>
          <w:lang w:bidi="ar"/>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项目实施单位：</w:t>
      </w:r>
      <w:r>
        <w:rPr>
          <w:rFonts w:hint="eastAsia" w:ascii="仿宋" w:hAnsi="仿宋" w:eastAsia="仿宋" w:cs="仿宋"/>
          <w:sz w:val="28"/>
          <w:szCs w:val="28"/>
          <w:highlight w:val="none"/>
          <w:lang w:val="en-US" w:eastAsia="zh-CN"/>
        </w:rPr>
        <w:t>临猗县医疗集团、</w:t>
      </w:r>
      <w:r>
        <w:rPr>
          <w:rFonts w:hint="eastAsia" w:ascii="仿宋" w:hAnsi="仿宋" w:eastAsia="仿宋" w:cs="仿宋"/>
          <w:sz w:val="28"/>
          <w:szCs w:val="28"/>
          <w:highlight w:val="none"/>
          <w:lang w:eastAsia="zh-CN"/>
        </w:rPr>
        <w:t>临猗县各乡镇卫生院、村卫生室、</w:t>
      </w:r>
      <w:r>
        <w:rPr>
          <w:rFonts w:hint="eastAsia" w:ascii="仿宋" w:hAnsi="仿宋" w:eastAsia="仿宋" w:cs="仿宋"/>
          <w:sz w:val="28"/>
          <w:szCs w:val="28"/>
          <w:highlight w:val="none"/>
          <w:lang w:val="en-US" w:eastAsia="zh-CN"/>
        </w:rPr>
        <w:t>各</w:t>
      </w:r>
      <w:r>
        <w:rPr>
          <w:rFonts w:hint="eastAsia" w:ascii="仿宋" w:hAnsi="仿宋" w:eastAsia="仿宋" w:cs="仿宋"/>
          <w:sz w:val="28"/>
          <w:szCs w:val="28"/>
          <w:highlight w:val="none"/>
          <w:lang w:eastAsia="zh-CN"/>
        </w:rPr>
        <w:t>专业</w:t>
      </w:r>
      <w:r>
        <w:rPr>
          <w:rFonts w:hint="eastAsia" w:ascii="仿宋" w:hAnsi="仿宋" w:eastAsia="仿宋" w:cs="仿宋"/>
          <w:sz w:val="28"/>
          <w:szCs w:val="28"/>
          <w:highlight w:val="none"/>
          <w:lang w:val="en-US" w:eastAsia="zh-CN"/>
        </w:rPr>
        <w:t>医疗</w:t>
      </w:r>
      <w:r>
        <w:rPr>
          <w:rFonts w:hint="eastAsia" w:ascii="仿宋" w:hAnsi="仿宋" w:eastAsia="仿宋" w:cs="仿宋"/>
          <w:sz w:val="28"/>
          <w:szCs w:val="28"/>
          <w:highlight w:val="none"/>
          <w:lang w:eastAsia="zh-CN"/>
        </w:rPr>
        <w:t>服务机构。</w:t>
      </w:r>
    </w:p>
    <w:p>
      <w:pPr>
        <w:spacing w:line="560" w:lineRule="exact"/>
        <w:ind w:firstLine="560" w:firstLineChars="200"/>
        <w:outlineLvl w:val="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项目利益者：</w:t>
      </w:r>
      <w:r>
        <w:rPr>
          <w:rFonts w:hint="eastAsia" w:ascii="仿宋" w:hAnsi="仿宋" w:eastAsia="仿宋" w:cs="仿宋"/>
          <w:sz w:val="28"/>
          <w:szCs w:val="28"/>
          <w:highlight w:val="none"/>
          <w:lang w:eastAsia="zh-CN"/>
        </w:rPr>
        <w:t>全</w:t>
      </w:r>
      <w:r>
        <w:rPr>
          <w:rFonts w:hint="eastAsia" w:ascii="仿宋" w:hAnsi="仿宋" w:eastAsia="仿宋" w:cs="仿宋"/>
          <w:sz w:val="28"/>
          <w:szCs w:val="28"/>
          <w:highlight w:val="none"/>
          <w:lang w:val="en-US" w:eastAsia="zh-CN"/>
        </w:rPr>
        <w:t>县常住人口</w:t>
      </w:r>
      <w:r>
        <w:rPr>
          <w:rFonts w:hint="eastAsia" w:ascii="仿宋" w:hAnsi="仿宋" w:eastAsia="仿宋" w:cs="仿宋"/>
          <w:sz w:val="28"/>
          <w:szCs w:val="28"/>
          <w:highlight w:val="none"/>
        </w:rPr>
        <w:t>。</w:t>
      </w:r>
    </w:p>
    <w:p>
      <w:pPr>
        <w:spacing w:line="560" w:lineRule="exact"/>
        <w:ind w:firstLine="562" w:firstLineChars="200"/>
        <w:outlineLvl w:val="0"/>
        <w:rPr>
          <w:rFonts w:ascii="仿宋" w:hAnsi="仿宋" w:eastAsia="仿宋" w:cs="仿宋"/>
          <w:b/>
          <w:bCs/>
          <w:sz w:val="28"/>
          <w:szCs w:val="28"/>
        </w:rPr>
      </w:pPr>
      <w:r>
        <w:rPr>
          <w:rFonts w:hint="eastAsia" w:ascii="仿宋" w:hAnsi="仿宋" w:eastAsia="仿宋" w:cs="仿宋"/>
          <w:b/>
          <w:bCs/>
          <w:sz w:val="28"/>
          <w:szCs w:val="28"/>
        </w:rPr>
        <w:t>二、评价实施思路</w:t>
      </w:r>
      <w:bookmarkEnd w:id="50"/>
      <w:bookmarkEnd w:id="51"/>
      <w:bookmarkEnd w:id="52"/>
      <w:bookmarkEnd w:id="53"/>
    </w:p>
    <w:p>
      <w:pPr>
        <w:widowControl/>
        <w:numPr>
          <w:ilvl w:val="0"/>
          <w:numId w:val="0"/>
        </w:numPr>
        <w:spacing w:line="560" w:lineRule="exact"/>
        <w:ind w:firstLine="562" w:firstLineChars="200"/>
        <w:outlineLvl w:val="1"/>
        <w:rPr>
          <w:rFonts w:hint="eastAsia" w:ascii="仿宋" w:hAnsi="仿宋" w:eastAsia="仿宋" w:cs="仿宋"/>
          <w:b/>
          <w:bCs w:val="0"/>
          <w:sz w:val="28"/>
          <w:szCs w:val="28"/>
          <w:lang w:val="en-US" w:eastAsia="zh-CN" w:bidi="ar"/>
        </w:rPr>
      </w:pPr>
      <w:bookmarkStart w:id="58" w:name="_Toc18664"/>
      <w:bookmarkStart w:id="59" w:name="_Toc6697_WPSOffice_Level2"/>
      <w:bookmarkStart w:id="60" w:name="_Toc9672_WPSOffice_Level2"/>
      <w:bookmarkStart w:id="61" w:name="_Toc29448_WPSOffice_Level2"/>
      <w:r>
        <w:rPr>
          <w:rFonts w:hint="eastAsia" w:ascii="仿宋" w:hAnsi="仿宋" w:eastAsia="仿宋" w:cs="仿宋"/>
          <w:b/>
          <w:bCs w:val="0"/>
          <w:sz w:val="28"/>
          <w:szCs w:val="28"/>
          <w:lang w:val="en-US" w:eastAsia="zh-CN" w:bidi="ar"/>
        </w:rPr>
        <w:t>（一）评价目的和依据</w:t>
      </w:r>
      <w:bookmarkEnd w:id="58"/>
      <w:bookmarkEnd w:id="59"/>
      <w:bookmarkEnd w:id="60"/>
      <w:bookmarkEnd w:id="61"/>
    </w:p>
    <w:p>
      <w:pPr>
        <w:widowControl/>
        <w:numPr>
          <w:ilvl w:val="0"/>
          <w:numId w:val="0"/>
        </w:numPr>
        <w:spacing w:line="560" w:lineRule="exact"/>
        <w:ind w:firstLine="562" w:firstLineChars="200"/>
        <w:outlineLvl w:val="1"/>
        <w:rPr>
          <w:rFonts w:hint="eastAsia" w:ascii="仿宋" w:hAnsi="仿宋" w:eastAsia="仿宋" w:cs="仿宋"/>
          <w:b/>
          <w:bCs w:val="0"/>
          <w:sz w:val="28"/>
          <w:szCs w:val="28"/>
          <w:lang w:val="en-US" w:eastAsia="zh-CN" w:bidi="ar"/>
        </w:rPr>
      </w:pPr>
      <w:bookmarkStart w:id="62" w:name="_Toc24866"/>
      <w:bookmarkStart w:id="63" w:name="_Toc9340_WPSOffice_Level3"/>
      <w:r>
        <w:rPr>
          <w:rFonts w:hint="eastAsia" w:ascii="仿宋" w:hAnsi="仿宋" w:eastAsia="仿宋" w:cs="仿宋"/>
          <w:b/>
          <w:bCs w:val="0"/>
          <w:sz w:val="28"/>
          <w:szCs w:val="28"/>
          <w:lang w:val="en-US" w:eastAsia="zh-CN" w:bidi="ar"/>
        </w:rPr>
        <w:t>1.评价目的</w:t>
      </w:r>
      <w:bookmarkEnd w:id="62"/>
      <w:bookmarkEnd w:id="63"/>
    </w:p>
    <w:p>
      <w:pPr>
        <w:spacing w:line="560" w:lineRule="exact"/>
        <w:ind w:firstLine="560"/>
        <w:rPr>
          <w:rFonts w:ascii="仿宋" w:hAnsi="仿宋" w:eastAsia="仿宋" w:cs="仿宋"/>
          <w:sz w:val="28"/>
          <w:szCs w:val="28"/>
        </w:rPr>
      </w:pPr>
      <w:r>
        <w:rPr>
          <w:rFonts w:hint="eastAsia" w:ascii="仿宋" w:hAnsi="仿宋" w:eastAsia="仿宋" w:cs="仿宋"/>
          <w:sz w:val="28"/>
          <w:szCs w:val="28"/>
        </w:rPr>
        <w:t>财政支出绩效评价旨在通过评价改善预算部门的财政支出管理，优化资源配置及提高公共服务水平。本次绩效评价遵循财政部《关于推进绩效管理的指导意见》（财预〔2011</w:t>
      </w:r>
      <w:r>
        <w:rPr>
          <w:rFonts w:hint="eastAsia" w:ascii="仿宋" w:hAnsi="仿宋" w:eastAsia="仿宋" w:cs="仿宋"/>
          <w:bCs/>
          <w:sz w:val="28"/>
          <w:szCs w:val="28"/>
          <w:lang w:bidi="ar"/>
        </w:rPr>
        <w:t>〕</w:t>
      </w:r>
      <w:r>
        <w:rPr>
          <w:rFonts w:hint="eastAsia" w:ascii="仿宋" w:hAnsi="仿宋" w:eastAsia="仿宋" w:cs="仿宋"/>
          <w:sz w:val="28"/>
          <w:szCs w:val="28"/>
        </w:rPr>
        <w:t>416号）</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项目支出绩效评价管理办法</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财预</w:t>
      </w:r>
      <w:r>
        <w:rPr>
          <w:rFonts w:hint="eastAsia" w:ascii="仿宋" w:hAnsi="仿宋" w:eastAsia="仿宋" w:cs="仿宋"/>
          <w:sz w:val="28"/>
          <w:szCs w:val="28"/>
        </w:rPr>
        <w:t>〔20</w:t>
      </w:r>
      <w:r>
        <w:rPr>
          <w:rFonts w:hint="eastAsia" w:ascii="仿宋" w:hAnsi="仿宋" w:eastAsia="仿宋" w:cs="仿宋"/>
          <w:sz w:val="28"/>
          <w:szCs w:val="28"/>
          <w:lang w:val="en-US" w:eastAsia="zh-CN"/>
        </w:rPr>
        <w:t>20</w:t>
      </w:r>
      <w:r>
        <w:rPr>
          <w:rFonts w:hint="eastAsia" w:ascii="仿宋" w:hAnsi="仿宋" w:eastAsia="仿宋" w:cs="仿宋"/>
          <w:bCs/>
          <w:sz w:val="28"/>
          <w:szCs w:val="28"/>
          <w:lang w:bidi="ar"/>
        </w:rPr>
        <w:t>〕</w:t>
      </w:r>
      <w:r>
        <w:rPr>
          <w:rFonts w:hint="eastAsia" w:ascii="仿宋" w:hAnsi="仿宋" w:eastAsia="仿宋" w:cs="仿宋"/>
          <w:bCs/>
          <w:sz w:val="28"/>
          <w:szCs w:val="28"/>
          <w:lang w:val="en-US" w:eastAsia="zh-CN" w:bidi="ar"/>
        </w:rPr>
        <w:t>10号）及</w:t>
      </w:r>
      <w:r>
        <w:rPr>
          <w:rFonts w:hint="eastAsia" w:ascii="仿宋" w:hAnsi="仿宋" w:eastAsia="仿宋" w:cs="仿宋"/>
          <w:sz w:val="28"/>
          <w:szCs w:val="28"/>
        </w:rPr>
        <w:t>山西省财政厅《山西省预算绩效评价管理办法》（晋财资〔2014</w:t>
      </w:r>
      <w:r>
        <w:rPr>
          <w:rFonts w:hint="eastAsia" w:ascii="仿宋" w:hAnsi="仿宋" w:eastAsia="仿宋" w:cs="仿宋"/>
          <w:bCs/>
          <w:sz w:val="28"/>
          <w:szCs w:val="28"/>
          <w:lang w:bidi="ar"/>
        </w:rPr>
        <w:t>〕</w:t>
      </w:r>
      <w:r>
        <w:rPr>
          <w:rFonts w:hint="eastAsia" w:ascii="仿宋" w:hAnsi="仿宋" w:eastAsia="仿宋" w:cs="仿宋"/>
          <w:sz w:val="28"/>
          <w:szCs w:val="28"/>
        </w:rPr>
        <w:t>36号）等文件的相关规定，客观、公正、全面地评价</w:t>
      </w:r>
      <w:r>
        <w:rPr>
          <w:rFonts w:hint="eastAsia" w:ascii="仿宋" w:hAnsi="仿宋" w:eastAsia="仿宋" w:cs="仿宋"/>
          <w:sz w:val="28"/>
          <w:szCs w:val="28"/>
          <w:lang w:eastAsia="zh-CN"/>
        </w:rPr>
        <w:t>临猗县基本公共卫生项目项目</w:t>
      </w:r>
      <w:r>
        <w:rPr>
          <w:rFonts w:hint="eastAsia" w:ascii="仿宋" w:hAnsi="仿宋" w:eastAsia="仿宋" w:cs="仿宋"/>
          <w:sz w:val="28"/>
          <w:szCs w:val="28"/>
          <w:lang w:val="en-US" w:eastAsia="zh-CN"/>
        </w:rPr>
        <w:t>决策</w:t>
      </w:r>
      <w:r>
        <w:rPr>
          <w:rFonts w:hint="eastAsia" w:ascii="仿宋" w:hAnsi="仿宋" w:eastAsia="仿宋" w:cs="仿宋"/>
          <w:sz w:val="28"/>
          <w:szCs w:val="28"/>
          <w:lang w:eastAsia="zh-CN"/>
        </w:rPr>
        <w:t>、项目</w:t>
      </w:r>
      <w:r>
        <w:rPr>
          <w:rFonts w:hint="eastAsia" w:ascii="仿宋" w:hAnsi="仿宋" w:eastAsia="仿宋" w:cs="仿宋"/>
          <w:sz w:val="28"/>
          <w:szCs w:val="28"/>
        </w:rPr>
        <w:t>管理与实施情况、资金管理与使用情况、效益实现情况等，总结经验，发现问题，并提出改进的相关措施和建议。</w:t>
      </w:r>
    </w:p>
    <w:p>
      <w:pPr>
        <w:spacing w:line="560" w:lineRule="exac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b/>
          <w:bCs/>
          <w:sz w:val="28"/>
          <w:szCs w:val="28"/>
        </w:rPr>
        <w:t xml:space="preserve"> </w:t>
      </w:r>
      <w:bookmarkStart w:id="64" w:name="_Toc15428_WPSOffice_Level3"/>
      <w:r>
        <w:rPr>
          <w:rFonts w:hint="eastAsia" w:ascii="仿宋" w:hAnsi="仿宋" w:eastAsia="仿宋" w:cs="仿宋"/>
          <w:b/>
          <w:bCs/>
          <w:sz w:val="28"/>
          <w:szCs w:val="28"/>
        </w:rPr>
        <w:t>2.评价依据</w:t>
      </w:r>
      <w:bookmarkEnd w:id="64"/>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绩效评价依据包括但不限于：</w:t>
      </w:r>
    </w:p>
    <w:p>
      <w:pPr>
        <w:spacing w:line="560" w:lineRule="exact"/>
        <w:ind w:firstLine="560" w:firstLineChars="200"/>
        <w:rPr>
          <w:rFonts w:ascii="仿宋" w:hAnsi="仿宋" w:eastAsia="仿宋" w:cs="仿宋"/>
          <w:sz w:val="28"/>
          <w:szCs w:val="28"/>
        </w:rPr>
      </w:pPr>
      <w:bookmarkStart w:id="65" w:name="_Toc26285"/>
      <w:bookmarkStart w:id="66" w:name="_Toc27594_WPSOffice_Level2"/>
      <w:bookmarkStart w:id="67" w:name="_Toc20879_WPSOffice_Level2"/>
      <w:bookmarkStart w:id="68" w:name="_Toc18748_WPSOffice_Level2"/>
      <w:r>
        <w:rPr>
          <w:rFonts w:hint="eastAsia" w:ascii="仿宋" w:hAnsi="仿宋" w:eastAsia="仿宋" w:cs="仿宋"/>
          <w:sz w:val="28"/>
          <w:szCs w:val="28"/>
        </w:rPr>
        <w:t>（1）《中华人民共和国预算法》</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（2）《中华人民共和国招</w:t>
      </w:r>
      <w:r>
        <w:rPr>
          <w:rFonts w:hint="eastAsia" w:ascii="仿宋" w:hAnsi="仿宋" w:eastAsia="仿宋" w:cs="仿宋"/>
          <w:sz w:val="28"/>
          <w:szCs w:val="28"/>
          <w:lang w:eastAsia="zh-CN"/>
        </w:rPr>
        <w:t>标</w:t>
      </w:r>
      <w:r>
        <w:rPr>
          <w:rFonts w:hint="eastAsia" w:ascii="仿宋" w:hAnsi="仿宋" w:eastAsia="仿宋" w:cs="仿宋"/>
          <w:sz w:val="28"/>
          <w:szCs w:val="28"/>
        </w:rPr>
        <w:t>投标法》</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（3）《中共中央 国务院关于全面实施预算绩效管理的意见》（中发〔2018〕34号）</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4</w:t>
      </w:r>
      <w:r>
        <w:rPr>
          <w:rFonts w:hint="eastAsia" w:ascii="仿宋" w:hAnsi="仿宋" w:eastAsia="仿宋" w:cs="仿宋"/>
          <w:sz w:val="28"/>
          <w:szCs w:val="28"/>
        </w:rPr>
        <w:t>）财政部《关于推进绩效管理的指导意见》（财预〔2011</w:t>
      </w:r>
      <w:r>
        <w:rPr>
          <w:rFonts w:hint="eastAsia" w:ascii="仿宋" w:hAnsi="仿宋" w:eastAsia="仿宋" w:cs="仿宋"/>
          <w:bCs/>
          <w:sz w:val="28"/>
          <w:szCs w:val="28"/>
          <w:lang w:bidi="ar"/>
        </w:rPr>
        <w:t>〕</w:t>
      </w:r>
      <w:r>
        <w:rPr>
          <w:rFonts w:hint="eastAsia" w:ascii="仿宋" w:hAnsi="仿宋" w:eastAsia="仿宋" w:cs="仿宋"/>
          <w:sz w:val="28"/>
          <w:szCs w:val="28"/>
        </w:rPr>
        <w:t>416号）</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5</w:t>
      </w:r>
      <w:r>
        <w:rPr>
          <w:rFonts w:hint="eastAsia" w:ascii="仿宋" w:hAnsi="仿宋" w:eastAsia="仿宋" w:cs="仿宋"/>
          <w:sz w:val="28"/>
          <w:szCs w:val="28"/>
        </w:rPr>
        <w:t>）财政部《预算绩效评价共性指标体系框架》（财预〔2013</w:t>
      </w:r>
      <w:r>
        <w:rPr>
          <w:rFonts w:hint="eastAsia" w:ascii="仿宋" w:hAnsi="仿宋" w:eastAsia="仿宋" w:cs="仿宋"/>
          <w:bCs/>
          <w:sz w:val="28"/>
          <w:szCs w:val="28"/>
          <w:lang w:bidi="ar"/>
        </w:rPr>
        <w:t>〕</w:t>
      </w:r>
      <w:r>
        <w:rPr>
          <w:rFonts w:hint="eastAsia" w:ascii="仿宋" w:hAnsi="仿宋" w:eastAsia="仿宋" w:cs="仿宋"/>
          <w:sz w:val="28"/>
          <w:szCs w:val="28"/>
        </w:rPr>
        <w:t>53号）</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6</w:t>
      </w:r>
      <w:r>
        <w:rPr>
          <w:rFonts w:hint="eastAsia" w:ascii="仿宋" w:hAnsi="仿宋" w:eastAsia="仿宋" w:cs="仿宋"/>
          <w:sz w:val="28"/>
          <w:szCs w:val="28"/>
        </w:rPr>
        <w:t>）《财政部关于贯彻落实〈中共中央国务院关于全面实施预算绩效管理的意见〉的通知》（财预〔2018〕167号）</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7</w:t>
      </w:r>
      <w:r>
        <w:rPr>
          <w:rFonts w:hint="eastAsia" w:ascii="仿宋" w:hAnsi="仿宋" w:eastAsia="仿宋" w:cs="仿宋"/>
          <w:sz w:val="28"/>
          <w:szCs w:val="28"/>
        </w:rPr>
        <w:t>）山西省人民政府《山西省人民政府办公厅关于全面推进我省预算绩效管理的指导意见》（晋政办发〔2013〕80号）</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8</w:t>
      </w:r>
      <w:r>
        <w:rPr>
          <w:rFonts w:hint="eastAsia" w:ascii="仿宋" w:hAnsi="仿宋" w:eastAsia="仿宋" w:cs="仿宋"/>
          <w:sz w:val="28"/>
          <w:szCs w:val="28"/>
        </w:rPr>
        <w:t>）山西省财政厅《山西省预算绩效评价管理办法》（晋财资〔2014〕36号）</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仿宋" w:hAnsi="仿宋" w:eastAsia="仿宋" w:cs="仿宋"/>
          <w:kern w:val="2"/>
          <w:sz w:val="28"/>
          <w:szCs w:val="28"/>
          <w:lang w:val="en-US" w:eastAsia="zh-CN" w:bidi="ar-SA"/>
        </w:rPr>
      </w:pPr>
      <w:r>
        <w:rPr>
          <w:rFonts w:hint="eastAsia" w:ascii="仿宋" w:hAnsi="仿宋" w:eastAsia="仿宋" w:cs="仿宋"/>
          <w:sz w:val="28"/>
          <w:szCs w:val="28"/>
        </w:rPr>
        <w:t>（</w:t>
      </w:r>
      <w:r>
        <w:rPr>
          <w:rFonts w:hint="eastAsia" w:ascii="仿宋" w:hAnsi="仿宋" w:eastAsia="仿宋" w:cs="仿宋"/>
          <w:sz w:val="28"/>
          <w:szCs w:val="28"/>
          <w:lang w:val="en-US" w:eastAsia="zh-CN"/>
        </w:rPr>
        <w:t>9</w:t>
      </w:r>
      <w:r>
        <w:rPr>
          <w:rFonts w:hint="eastAsia" w:ascii="仿宋" w:hAnsi="仿宋" w:eastAsia="仿宋" w:cs="仿宋"/>
          <w:sz w:val="28"/>
          <w:szCs w:val="28"/>
        </w:rPr>
        <w:t>）</w:t>
      </w:r>
      <w:r>
        <w:rPr>
          <w:rFonts w:hint="eastAsia" w:ascii="仿宋" w:hAnsi="仿宋" w:eastAsia="仿宋" w:cs="仿宋"/>
          <w:kern w:val="2"/>
          <w:sz w:val="28"/>
          <w:szCs w:val="28"/>
          <w:lang w:val="en-US" w:eastAsia="zh-CN" w:bidi="ar-SA"/>
        </w:rPr>
        <w:t>《项目支出绩效评价管理办法》（财预〔2020〕10号）</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（10）《国家基本公共卫生服务项目绩效考核指方案》</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仿宋" w:hAnsi="仿宋" w:eastAsia="仿宋" w:cs="仿宋"/>
          <w:sz w:val="28"/>
          <w:szCs w:val="28"/>
        </w:rPr>
      </w:pPr>
      <w:r>
        <w:rPr>
          <w:rFonts w:hint="eastAsia" w:ascii="仿宋" w:hAnsi="仿宋" w:eastAsia="仿宋" w:cs="仿宋"/>
          <w:kern w:val="2"/>
          <w:sz w:val="28"/>
          <w:szCs w:val="28"/>
          <w:lang w:val="en-US" w:eastAsia="zh-CN" w:bidi="ar-SA"/>
        </w:rPr>
        <w:t>（11）中国注册会计师协会关于印发《会计师事务所财政支出绩效评价业务指引》的通知</w:t>
      </w:r>
      <w:r>
        <w:rPr>
          <w:rFonts w:hint="eastAsia" w:ascii="仿宋" w:hAnsi="仿宋" w:eastAsia="仿宋" w:cs="仿宋"/>
          <w:sz w:val="28"/>
          <w:szCs w:val="28"/>
        </w:rPr>
        <w:t>（会协〔2016〕10号）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cs="仿宋"/>
          <w:sz w:val="28"/>
          <w:szCs w:val="28"/>
        </w:rPr>
      </w:pPr>
      <w:r>
        <w:rPr>
          <w:rFonts w:hint="eastAsia" w:ascii="仿宋" w:hAnsi="仿宋" w:eastAsia="仿宋" w:cs="仿宋"/>
          <w:kern w:val="2"/>
          <w:sz w:val="28"/>
          <w:szCs w:val="28"/>
          <w:lang w:val="en-US" w:eastAsia="zh-CN" w:bidi="ar-SA"/>
        </w:rPr>
        <w:t>（12）其他相关文件</w:t>
      </w:r>
      <w:r>
        <w:rPr>
          <w:rFonts w:hint="eastAsia" w:ascii="仿宋" w:hAnsi="仿宋" w:eastAsia="仿宋" w:cs="仿宋"/>
          <w:sz w:val="28"/>
          <w:szCs w:val="28"/>
        </w:rPr>
        <w:t>及规定</w:t>
      </w:r>
    </w:p>
    <w:p>
      <w:pPr>
        <w:widowControl/>
        <w:numPr>
          <w:ilvl w:val="0"/>
          <w:numId w:val="0"/>
        </w:numPr>
        <w:spacing w:line="560" w:lineRule="exact"/>
        <w:ind w:firstLine="562" w:firstLineChars="200"/>
        <w:outlineLvl w:val="1"/>
        <w:rPr>
          <w:rFonts w:hint="eastAsia" w:ascii="仿宋" w:hAnsi="仿宋" w:eastAsia="仿宋" w:cs="仿宋"/>
          <w:b/>
          <w:bCs w:val="0"/>
          <w:sz w:val="28"/>
          <w:szCs w:val="28"/>
          <w:lang w:val="en-US" w:eastAsia="zh-CN" w:bidi="ar"/>
        </w:rPr>
      </w:pPr>
      <w:r>
        <w:rPr>
          <w:rFonts w:hint="eastAsia" w:ascii="仿宋" w:hAnsi="仿宋" w:eastAsia="仿宋" w:cs="仿宋"/>
          <w:b/>
          <w:bCs w:val="0"/>
          <w:sz w:val="28"/>
          <w:szCs w:val="28"/>
          <w:lang w:val="en-US" w:eastAsia="zh-CN" w:bidi="ar"/>
        </w:rPr>
        <w:t>（二）评价对象和范围</w:t>
      </w:r>
      <w:bookmarkEnd w:id="65"/>
      <w:bookmarkEnd w:id="66"/>
      <w:bookmarkEnd w:id="67"/>
      <w:bookmarkEnd w:id="68"/>
    </w:p>
    <w:p>
      <w:pPr>
        <w:spacing w:line="560" w:lineRule="exact"/>
        <w:ind w:firstLine="560"/>
        <w:rPr>
          <w:rFonts w:ascii="仿宋" w:hAnsi="仿宋" w:eastAsia="仿宋" w:cs="仿宋"/>
          <w:sz w:val="28"/>
          <w:szCs w:val="28"/>
        </w:rPr>
      </w:pPr>
      <w:bookmarkStart w:id="69" w:name="_Toc25078_WPSOffice_Level2"/>
      <w:bookmarkStart w:id="70" w:name="_Toc769_WPSOffice_Level2"/>
      <w:bookmarkStart w:id="71" w:name="_Toc3041_WPSOffice_Level2"/>
      <w:bookmarkStart w:id="72" w:name="_Toc23317"/>
      <w:r>
        <w:rPr>
          <w:rFonts w:hint="eastAsia" w:ascii="仿宋" w:hAnsi="仿宋" w:eastAsia="仿宋" w:cs="仿宋"/>
          <w:sz w:val="28"/>
          <w:szCs w:val="28"/>
        </w:rPr>
        <w:t>本次绩效评价对象是</w:t>
      </w:r>
      <w:r>
        <w:rPr>
          <w:rFonts w:hint="eastAsia" w:ascii="仿宋" w:hAnsi="仿宋" w:eastAsia="仿宋" w:cs="仿宋"/>
          <w:sz w:val="28"/>
          <w:szCs w:val="28"/>
          <w:highlight w:val="none"/>
          <w:lang w:eastAsia="zh-CN"/>
        </w:rPr>
        <w:t>临猗县基本公共卫生项目</w:t>
      </w:r>
      <w:r>
        <w:rPr>
          <w:rFonts w:hint="eastAsia" w:ascii="仿宋" w:hAnsi="仿宋" w:eastAsia="仿宋" w:cs="仿宋"/>
          <w:bCs/>
          <w:sz w:val="28"/>
          <w:szCs w:val="28"/>
          <w:highlight w:val="none"/>
          <w:lang w:val="en-US" w:eastAsia="zh-CN" w:bidi="ar"/>
        </w:rPr>
        <w:t>4176.39</w:t>
      </w:r>
      <w:r>
        <w:rPr>
          <w:rFonts w:hint="eastAsia" w:ascii="仿宋" w:hAnsi="仿宋" w:eastAsia="仿宋" w:cs="仿宋"/>
          <w:sz w:val="28"/>
          <w:szCs w:val="28"/>
          <w:highlight w:val="none"/>
          <w:lang w:val="en-US" w:eastAsia="zh-CN"/>
        </w:rPr>
        <w:t>万元，</w:t>
      </w:r>
      <w:r>
        <w:rPr>
          <w:rFonts w:hint="eastAsia" w:ascii="仿宋" w:hAnsi="仿宋" w:eastAsia="仿宋" w:cs="仿宋"/>
          <w:sz w:val="28"/>
          <w:szCs w:val="28"/>
          <w:highlight w:val="none"/>
        </w:rPr>
        <w:t>评</w:t>
      </w:r>
      <w:r>
        <w:rPr>
          <w:rFonts w:hint="eastAsia" w:ascii="仿宋" w:hAnsi="仿宋" w:eastAsia="仿宋" w:cs="仿宋"/>
          <w:sz w:val="28"/>
          <w:szCs w:val="28"/>
        </w:rPr>
        <w:t>价范围为该专项资金支持的项目和资金使用情况及效果。</w:t>
      </w:r>
    </w:p>
    <w:p>
      <w:pPr>
        <w:widowControl/>
        <w:numPr>
          <w:ilvl w:val="0"/>
          <w:numId w:val="0"/>
        </w:numPr>
        <w:spacing w:line="560" w:lineRule="exact"/>
        <w:ind w:firstLine="562" w:firstLineChars="200"/>
        <w:outlineLvl w:val="1"/>
        <w:rPr>
          <w:rFonts w:hint="eastAsia" w:ascii="仿宋" w:hAnsi="仿宋" w:eastAsia="仿宋" w:cs="仿宋"/>
          <w:b/>
          <w:bCs w:val="0"/>
          <w:sz w:val="28"/>
          <w:szCs w:val="28"/>
          <w:lang w:val="en-US" w:eastAsia="zh-CN" w:bidi="ar"/>
        </w:rPr>
      </w:pPr>
      <w:r>
        <w:rPr>
          <w:rFonts w:hint="eastAsia" w:ascii="仿宋" w:hAnsi="仿宋" w:eastAsia="仿宋" w:cs="仿宋"/>
          <w:b/>
          <w:bCs w:val="0"/>
          <w:sz w:val="28"/>
          <w:szCs w:val="28"/>
          <w:lang w:val="en-US" w:eastAsia="zh-CN" w:bidi="ar"/>
        </w:rPr>
        <w:t>（三）绩效评价原则</w:t>
      </w:r>
      <w:bookmarkEnd w:id="69"/>
      <w:bookmarkEnd w:id="70"/>
      <w:bookmarkEnd w:id="71"/>
      <w:bookmarkEnd w:id="72"/>
    </w:p>
    <w:p>
      <w:pPr>
        <w:spacing w:line="560" w:lineRule="exact"/>
        <w:ind w:firstLine="560" w:firstLineChars="200"/>
        <w:rPr>
          <w:rFonts w:hint="eastAsia" w:ascii="仿宋" w:hAnsi="仿宋" w:eastAsia="仿宋" w:cs="仿宋"/>
          <w:sz w:val="28"/>
          <w:szCs w:val="28"/>
        </w:rPr>
      </w:pPr>
      <w:bookmarkStart w:id="73" w:name="_Toc18495_WPSOffice_Level2"/>
      <w:bookmarkStart w:id="74" w:name="_Toc18876_WPSOffice_Level2"/>
      <w:bookmarkStart w:id="75" w:name="_Toc10037_WPSOffice_Level2"/>
      <w:r>
        <w:rPr>
          <w:rFonts w:hint="eastAsia" w:ascii="仿宋" w:hAnsi="仿宋" w:eastAsia="仿宋" w:cs="仿宋"/>
          <w:sz w:val="28"/>
          <w:szCs w:val="28"/>
        </w:rPr>
        <w:t>1.科学公正。绩效评价应当运用科学合理的方法，按照规范的程序，对项目绩效进行客观、公正的反映。</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统筹兼顾。单位自评应职责明确，各有侧重，相互衔接。单位自评应由项目单位自主实施，即“谁支出、谁自评”。</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公开透明。绩效评价结果应依法依规公开，并自觉接受社会监督。</w:t>
      </w:r>
    </w:p>
    <w:p>
      <w:pPr>
        <w:widowControl/>
        <w:numPr>
          <w:ilvl w:val="0"/>
          <w:numId w:val="0"/>
        </w:numPr>
        <w:spacing w:line="560" w:lineRule="exact"/>
        <w:ind w:firstLine="562" w:firstLineChars="200"/>
        <w:outlineLvl w:val="1"/>
        <w:rPr>
          <w:rFonts w:hint="eastAsia" w:ascii="仿宋" w:hAnsi="仿宋" w:eastAsia="仿宋" w:cs="仿宋"/>
          <w:b/>
          <w:bCs w:val="0"/>
          <w:sz w:val="28"/>
          <w:szCs w:val="28"/>
          <w:lang w:val="en-US" w:eastAsia="zh-CN" w:bidi="ar"/>
        </w:rPr>
      </w:pPr>
      <w:bookmarkStart w:id="76" w:name="_Toc24501"/>
      <w:r>
        <w:rPr>
          <w:rFonts w:hint="eastAsia" w:ascii="仿宋" w:hAnsi="仿宋" w:eastAsia="仿宋" w:cs="仿宋"/>
          <w:b/>
          <w:bCs w:val="0"/>
          <w:sz w:val="28"/>
          <w:szCs w:val="28"/>
          <w:lang w:val="en-US" w:eastAsia="zh-CN" w:bidi="ar"/>
        </w:rPr>
        <w:t>（四）绩效评价方法</w:t>
      </w:r>
      <w:bookmarkEnd w:id="73"/>
      <w:bookmarkEnd w:id="74"/>
      <w:bookmarkEnd w:id="75"/>
      <w:bookmarkEnd w:id="76"/>
    </w:p>
    <w:p>
      <w:pPr>
        <w:spacing w:line="56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rPr>
        <w:t>1.</w:t>
      </w:r>
      <w:r>
        <w:rPr>
          <w:rFonts w:hint="eastAsia" w:ascii="仿宋" w:hAnsi="仿宋" w:eastAsia="仿宋" w:cs="仿宋"/>
          <w:sz w:val="28"/>
          <w:szCs w:val="28"/>
          <w:highlight w:val="none"/>
        </w:rPr>
        <w:t>比较分析法：是指通过对绩效目标和实施效果、历史和当期情况，综合分析绩效目标的实现程度和效果。本次评价工作，通过对项目之间的横向、纵向比较，资金实际绩效与目标绩效之间比较，以及项目实际状况与设定评价标准的比较等，对项目资金进行综合评价。</w:t>
      </w:r>
    </w:p>
    <w:p>
      <w:pPr>
        <w:spacing w:line="56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lang w:val="en-US" w:eastAsia="zh-CN"/>
        </w:rPr>
        <w:t>2</w:t>
      </w:r>
      <w:r>
        <w:rPr>
          <w:rFonts w:hint="eastAsia" w:ascii="仿宋" w:hAnsi="仿宋" w:eastAsia="仿宋" w:cs="仿宋"/>
          <w:sz w:val="28"/>
          <w:szCs w:val="28"/>
        </w:rPr>
        <w:t>.因素分析法：是指通过综合分析影响绩效目标实现、实施效果的内外因素，评价绩效目标实现程度。</w:t>
      </w:r>
      <w:r>
        <w:rPr>
          <w:rFonts w:hint="eastAsia" w:ascii="仿宋" w:hAnsi="仿宋" w:eastAsia="仿宋" w:cs="仿宋"/>
          <w:sz w:val="28"/>
          <w:szCs w:val="28"/>
          <w:highlight w:val="none"/>
        </w:rPr>
        <w:t>本次主要分别就项目完成情况、项目产出、效益以及其他措施等因素进行分析评价。</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.综合指数评价法：是指把各项绩效指标的实际水平，对照评价标准值，分别计算各项指标评价得分，再按照设定的各项指标权数计算出综合评价得分，分析评价绩效目标实现情况的评价方法。</w:t>
      </w:r>
    </w:p>
    <w:p>
      <w:pPr>
        <w:spacing w:line="5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.公众评判法。是指通过专家评估、公众问卷及抽样调查等方式进行评判的方法。</w:t>
      </w:r>
    </w:p>
    <w:p>
      <w:pPr>
        <w:widowControl/>
        <w:numPr>
          <w:ilvl w:val="0"/>
          <w:numId w:val="0"/>
        </w:numPr>
        <w:spacing w:line="560" w:lineRule="exact"/>
        <w:ind w:firstLine="562" w:firstLineChars="200"/>
        <w:outlineLvl w:val="1"/>
        <w:rPr>
          <w:rFonts w:hint="eastAsia" w:ascii="仿宋" w:hAnsi="仿宋" w:eastAsia="仿宋" w:cs="仿宋"/>
          <w:b/>
          <w:bCs w:val="0"/>
          <w:sz w:val="28"/>
          <w:szCs w:val="28"/>
          <w:lang w:val="en-US" w:eastAsia="zh-CN" w:bidi="ar"/>
        </w:rPr>
      </w:pPr>
      <w:bookmarkStart w:id="77" w:name="_Toc19084_WPSOffice_Level2"/>
      <w:bookmarkStart w:id="78" w:name="_Toc341_WPSOffice_Level2"/>
      <w:bookmarkStart w:id="79" w:name="_Toc6522"/>
      <w:bookmarkStart w:id="80" w:name="_Toc27934_WPSOffice_Level2"/>
      <w:r>
        <w:rPr>
          <w:rFonts w:hint="eastAsia" w:ascii="仿宋" w:hAnsi="仿宋" w:eastAsia="仿宋" w:cs="仿宋"/>
          <w:b/>
          <w:bCs w:val="0"/>
          <w:sz w:val="28"/>
          <w:szCs w:val="28"/>
          <w:lang w:val="en-US" w:eastAsia="zh-CN" w:bidi="ar"/>
        </w:rPr>
        <w:t>（五）评价的组织及实施</w:t>
      </w:r>
      <w:bookmarkEnd w:id="77"/>
      <w:bookmarkEnd w:id="78"/>
      <w:bookmarkEnd w:id="79"/>
      <w:bookmarkEnd w:id="80"/>
    </w:p>
    <w:p>
      <w:pPr>
        <w:spacing w:line="560" w:lineRule="exact"/>
        <w:ind w:firstLine="562" w:firstLineChars="200"/>
        <w:rPr>
          <w:rFonts w:ascii="仿宋" w:hAnsi="仿宋" w:eastAsia="仿宋" w:cs="仿宋"/>
          <w:b/>
          <w:bCs/>
          <w:sz w:val="28"/>
          <w:szCs w:val="28"/>
        </w:rPr>
      </w:pPr>
      <w:bookmarkStart w:id="81" w:name="_Toc28969_WPSOffice_Level3"/>
      <w:r>
        <w:rPr>
          <w:rFonts w:hint="eastAsia" w:ascii="仿宋" w:hAnsi="仿宋" w:eastAsia="仿宋" w:cs="仿宋"/>
          <w:b/>
          <w:bCs/>
          <w:sz w:val="28"/>
          <w:szCs w:val="28"/>
        </w:rPr>
        <w:t>1.人员分工</w:t>
      </w:r>
      <w:bookmarkEnd w:id="81"/>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根据</w:t>
      </w:r>
      <w:r>
        <w:rPr>
          <w:rFonts w:hint="eastAsia" w:ascii="仿宋" w:hAnsi="仿宋" w:eastAsia="仿宋" w:cs="仿宋"/>
          <w:sz w:val="28"/>
          <w:szCs w:val="28"/>
          <w:lang w:eastAsia="zh-CN"/>
        </w:rPr>
        <w:t>临猗县基本公共卫生项目</w:t>
      </w:r>
      <w:r>
        <w:rPr>
          <w:rFonts w:hint="eastAsia" w:ascii="仿宋" w:hAnsi="仿宋" w:eastAsia="仿宋" w:cs="仿宋"/>
          <w:sz w:val="28"/>
          <w:szCs w:val="28"/>
        </w:rPr>
        <w:t>情况，成立绩效评价工作组。本次绩效评价工作组成员名单见下表2-1：</w:t>
      </w:r>
    </w:p>
    <w:p>
      <w:pPr>
        <w:numPr>
          <w:ilvl w:val="0"/>
          <w:numId w:val="0"/>
        </w:numPr>
        <w:jc w:val="center"/>
        <w:rPr>
          <w:rFonts w:hint="eastAsia" w:ascii="仿宋" w:hAnsi="仿宋" w:eastAsia="仿宋" w:cs="仿宋"/>
          <w:b w:val="0"/>
          <w:bCs w:val="0"/>
          <w:sz w:val="28"/>
          <w:szCs w:val="28"/>
          <w:highlight w:val="none"/>
          <w:lang w:val="en-US" w:eastAsia="zh-CN"/>
        </w:rPr>
      </w:pPr>
      <w:bookmarkStart w:id="82" w:name="_Toc26280_WPSOffice_Level3"/>
      <w:r>
        <w:rPr>
          <w:rFonts w:hint="eastAsia" w:ascii="仿宋" w:hAnsi="仿宋" w:eastAsia="仿宋" w:cs="仿宋"/>
          <w:sz w:val="28"/>
          <w:szCs w:val="28"/>
        </w:rPr>
        <w:t>表</w:t>
      </w:r>
      <w:r>
        <w:rPr>
          <w:rFonts w:hint="eastAsia" w:ascii="仿宋" w:hAnsi="仿宋" w:eastAsia="仿宋" w:cs="仿宋"/>
          <w:sz w:val="28"/>
          <w:szCs w:val="28"/>
          <w:lang w:val="en-US" w:eastAsia="zh-CN"/>
        </w:rPr>
        <w:t>2-1：</w:t>
      </w:r>
      <w:r>
        <w:rPr>
          <w:rFonts w:hint="eastAsia" w:ascii="仿宋" w:hAnsi="仿宋" w:eastAsia="仿宋" w:cs="仿宋"/>
          <w:b w:val="0"/>
          <w:bCs w:val="0"/>
          <w:sz w:val="28"/>
          <w:szCs w:val="28"/>
          <w:highlight w:val="none"/>
          <w:lang w:val="en-US" w:eastAsia="zh-CN"/>
        </w:rPr>
        <w:t>评价组成员分工表</w:t>
      </w:r>
    </w:p>
    <w:tbl>
      <w:tblPr>
        <w:tblStyle w:val="14"/>
        <w:tblW w:w="88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992"/>
        <w:gridCol w:w="1323"/>
        <w:gridCol w:w="1512"/>
        <w:gridCol w:w="4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blHeader/>
        </w:trPr>
        <w:tc>
          <w:tcPr>
            <w:tcW w:w="851" w:type="dxa"/>
            <w:tcBorders>
              <w:tl2br w:val="nil"/>
              <w:tr2bl w:val="nil"/>
            </w:tcBorders>
            <w:shd w:val="clear" w:color="auto" w:fill="D7D7D7" w:themeFill="background1" w:themeFillShade="D8"/>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序号</w:t>
            </w:r>
          </w:p>
        </w:tc>
        <w:tc>
          <w:tcPr>
            <w:tcW w:w="992" w:type="dxa"/>
            <w:tcBorders>
              <w:tl2br w:val="nil"/>
              <w:tr2bl w:val="nil"/>
            </w:tcBorders>
            <w:shd w:val="clear" w:color="auto" w:fill="D7D7D7" w:themeFill="background1" w:themeFillShade="D8"/>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姓  名</w:t>
            </w:r>
          </w:p>
        </w:tc>
        <w:tc>
          <w:tcPr>
            <w:tcW w:w="1323" w:type="dxa"/>
            <w:tcBorders>
              <w:tl2br w:val="nil"/>
              <w:tr2bl w:val="nil"/>
            </w:tcBorders>
            <w:shd w:val="clear" w:color="auto" w:fill="D7D7D7" w:themeFill="background1" w:themeFillShade="D8"/>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在本项目中担任职责</w:t>
            </w:r>
          </w:p>
        </w:tc>
        <w:tc>
          <w:tcPr>
            <w:tcW w:w="1512" w:type="dxa"/>
            <w:tcBorders>
              <w:tl2br w:val="nil"/>
              <w:tr2bl w:val="nil"/>
            </w:tcBorders>
            <w:shd w:val="clear" w:color="auto" w:fill="D7D7D7" w:themeFill="background1" w:themeFillShade="D8"/>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技术职称</w:t>
            </w:r>
          </w:p>
        </w:tc>
        <w:tc>
          <w:tcPr>
            <w:tcW w:w="4202" w:type="dxa"/>
            <w:tcBorders>
              <w:tl2br w:val="nil"/>
              <w:tr2bl w:val="nil"/>
            </w:tcBorders>
            <w:shd w:val="clear" w:color="auto" w:fill="D7D7D7" w:themeFill="background1" w:themeFillShade="D8"/>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工作内容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51" w:type="dxa"/>
            <w:tcBorders>
              <w:tl2br w:val="nil"/>
              <w:tr2bl w:val="nil"/>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w:t>
            </w:r>
          </w:p>
        </w:tc>
        <w:tc>
          <w:tcPr>
            <w:tcW w:w="992" w:type="dxa"/>
            <w:tcBorders>
              <w:tl2br w:val="nil"/>
              <w:tr2bl w:val="nil"/>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陈创存</w:t>
            </w:r>
          </w:p>
        </w:tc>
        <w:tc>
          <w:tcPr>
            <w:tcW w:w="1323" w:type="dxa"/>
            <w:tcBorders>
              <w:tl2br w:val="nil"/>
              <w:tr2bl w:val="nil"/>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质量控制复核人</w:t>
            </w:r>
          </w:p>
        </w:tc>
        <w:tc>
          <w:tcPr>
            <w:tcW w:w="1512" w:type="dxa"/>
            <w:tcBorders>
              <w:tl2br w:val="nil"/>
              <w:tr2bl w:val="nil"/>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注册会计师、评估师</w:t>
            </w:r>
          </w:p>
        </w:tc>
        <w:tc>
          <w:tcPr>
            <w:tcW w:w="4202" w:type="dxa"/>
            <w:tcBorders>
              <w:tl2br w:val="nil"/>
              <w:tr2bl w:val="nil"/>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协调沟通，参与制定实施方案，修改绩效评价报告，督导项目进度和项目质量。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51" w:type="dxa"/>
            <w:tcBorders>
              <w:tl2br w:val="nil"/>
              <w:tr2bl w:val="nil"/>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w:t>
            </w:r>
          </w:p>
        </w:tc>
        <w:tc>
          <w:tcPr>
            <w:tcW w:w="992" w:type="dxa"/>
            <w:tcBorders>
              <w:tl2br w:val="nil"/>
              <w:tr2bl w:val="nil"/>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阴文平</w:t>
            </w:r>
          </w:p>
        </w:tc>
        <w:tc>
          <w:tcPr>
            <w:tcW w:w="1323" w:type="dxa"/>
            <w:tcBorders>
              <w:tl2br w:val="nil"/>
              <w:tr2bl w:val="nil"/>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二级复核人</w:t>
            </w:r>
          </w:p>
        </w:tc>
        <w:tc>
          <w:tcPr>
            <w:tcW w:w="1512" w:type="dxa"/>
            <w:tcBorders>
              <w:tl2br w:val="nil"/>
              <w:tr2bl w:val="nil"/>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注册会计师</w:t>
            </w:r>
          </w:p>
        </w:tc>
        <w:tc>
          <w:tcPr>
            <w:tcW w:w="4202" w:type="dxa"/>
            <w:tcBorders>
              <w:tl2br w:val="nil"/>
              <w:tr2bl w:val="nil"/>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参与制定实施方案，督促</w:t>
            </w:r>
            <w:r>
              <w:rPr>
                <w:rFonts w:hint="eastAsia" w:ascii="仿宋" w:hAnsi="仿宋" w:eastAsia="仿宋" w:cs="宋体"/>
                <w:kern w:val="0"/>
                <w:sz w:val="22"/>
                <w:szCs w:val="22"/>
                <w:lang w:eastAsia="zh-CN"/>
              </w:rPr>
              <w:t>项目</w:t>
            </w:r>
            <w:r>
              <w:rPr>
                <w:rFonts w:hint="eastAsia" w:ascii="仿宋" w:hAnsi="仿宋" w:eastAsia="仿宋" w:cs="宋体"/>
                <w:kern w:val="0"/>
                <w:sz w:val="22"/>
                <w:szCs w:val="22"/>
              </w:rPr>
              <w:t>组按照时间进度执行业务，参与报告修改，审核报告。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51" w:type="dxa"/>
            <w:tcBorders>
              <w:tl2br w:val="nil"/>
              <w:tr2bl w:val="nil"/>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w:t>
            </w:r>
          </w:p>
        </w:tc>
        <w:tc>
          <w:tcPr>
            <w:tcW w:w="992" w:type="dxa"/>
            <w:tcBorders>
              <w:tl2br w:val="nil"/>
              <w:tr2bl w:val="nil"/>
            </w:tcBorders>
            <w:shd w:val="clear" w:color="auto" w:fill="auto"/>
            <w:vAlign w:val="center"/>
          </w:tcPr>
          <w:p>
            <w:pPr>
              <w:widowControl/>
              <w:jc w:val="center"/>
              <w:rPr>
                <w:rFonts w:hint="eastAsia" w:ascii="仿宋" w:hAnsi="仿宋" w:eastAsia="仿宋" w:cs="宋体"/>
                <w:kern w:val="0"/>
                <w:sz w:val="22"/>
                <w:szCs w:val="22"/>
                <w:lang w:eastAsia="zh-CN"/>
              </w:rPr>
            </w:pPr>
            <w:r>
              <w:rPr>
                <w:rFonts w:hint="eastAsia" w:ascii="仿宋" w:hAnsi="仿宋" w:eastAsia="仿宋" w:cs="宋体"/>
                <w:kern w:val="0"/>
                <w:sz w:val="22"/>
                <w:szCs w:val="22"/>
                <w:lang w:val="en-US" w:eastAsia="zh-CN"/>
              </w:rPr>
              <w:t>薛丽芳</w:t>
            </w:r>
          </w:p>
        </w:tc>
        <w:tc>
          <w:tcPr>
            <w:tcW w:w="1323" w:type="dxa"/>
            <w:tcBorders>
              <w:tl2br w:val="nil"/>
              <w:tr2bl w:val="nil"/>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项目负责人</w:t>
            </w:r>
          </w:p>
        </w:tc>
        <w:tc>
          <w:tcPr>
            <w:tcW w:w="1512" w:type="dxa"/>
            <w:tcBorders>
              <w:tl2br w:val="nil"/>
              <w:tr2bl w:val="nil"/>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注册会计师</w:t>
            </w:r>
          </w:p>
        </w:tc>
        <w:tc>
          <w:tcPr>
            <w:tcW w:w="4202" w:type="dxa"/>
            <w:tcBorders>
              <w:tl2br w:val="nil"/>
              <w:tr2bl w:val="nil"/>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组织制定方案与现场绩效评价、负责总报告撰写。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51" w:type="dxa"/>
            <w:tcBorders>
              <w:tl2br w:val="nil"/>
              <w:tr2bl w:val="nil"/>
            </w:tcBorders>
            <w:shd w:val="clear" w:color="auto" w:fill="auto"/>
            <w:vAlign w:val="center"/>
          </w:tcPr>
          <w:p>
            <w:pPr>
              <w:widowControl/>
              <w:jc w:val="center"/>
              <w:rPr>
                <w:rFonts w:hint="eastAsia" w:ascii="仿宋" w:hAnsi="仿宋" w:eastAsia="仿宋" w:cs="宋体"/>
                <w:kern w:val="0"/>
                <w:sz w:val="22"/>
                <w:szCs w:val="22"/>
                <w:lang w:eastAsia="zh-CN"/>
              </w:rPr>
            </w:pPr>
            <w:r>
              <w:rPr>
                <w:rFonts w:hint="eastAsia" w:ascii="仿宋" w:hAnsi="仿宋" w:eastAsia="仿宋" w:cs="宋体"/>
                <w:kern w:val="0"/>
                <w:sz w:val="22"/>
                <w:szCs w:val="22"/>
                <w:lang w:val="en-US" w:eastAsia="zh-CN"/>
              </w:rPr>
              <w:t>4</w:t>
            </w:r>
          </w:p>
        </w:tc>
        <w:tc>
          <w:tcPr>
            <w:tcW w:w="992" w:type="dxa"/>
            <w:tcBorders>
              <w:tl2br w:val="nil"/>
              <w:tr2bl w:val="nil"/>
            </w:tcBorders>
            <w:shd w:val="clear" w:color="auto" w:fill="auto"/>
            <w:vAlign w:val="center"/>
          </w:tcPr>
          <w:p>
            <w:pPr>
              <w:widowControl/>
              <w:jc w:val="center"/>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lang w:val="en-US" w:eastAsia="zh-CN"/>
              </w:rPr>
              <w:t xml:space="preserve">王云霞 </w:t>
            </w:r>
          </w:p>
        </w:tc>
        <w:tc>
          <w:tcPr>
            <w:tcW w:w="1323" w:type="dxa"/>
            <w:tcBorders>
              <w:tl2br w:val="nil"/>
              <w:tr2bl w:val="nil"/>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绩效评价组成员</w:t>
            </w:r>
          </w:p>
        </w:tc>
        <w:tc>
          <w:tcPr>
            <w:tcW w:w="1512" w:type="dxa"/>
            <w:tcBorders>
              <w:tl2br w:val="nil"/>
              <w:tr2bl w:val="nil"/>
            </w:tcBorders>
            <w:shd w:val="clear" w:color="auto" w:fill="auto"/>
            <w:vAlign w:val="center"/>
          </w:tcPr>
          <w:p>
            <w:pPr>
              <w:widowControl/>
              <w:jc w:val="center"/>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lang w:val="en-US" w:eastAsia="zh-CN"/>
              </w:rPr>
              <w:t>中级会计师</w:t>
            </w:r>
          </w:p>
        </w:tc>
        <w:tc>
          <w:tcPr>
            <w:tcW w:w="4202" w:type="dxa"/>
            <w:tcBorders>
              <w:tl2br w:val="nil"/>
              <w:tr2bl w:val="nil"/>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参与制定实施方案</w:t>
            </w:r>
            <w:r>
              <w:rPr>
                <w:rFonts w:hint="eastAsia" w:ascii="仿宋" w:hAnsi="仿宋" w:eastAsia="仿宋" w:cs="宋体"/>
                <w:color w:val="000000"/>
                <w:kern w:val="0"/>
                <w:sz w:val="22"/>
                <w:szCs w:val="22"/>
                <w:lang w:eastAsia="zh-CN"/>
              </w:rPr>
              <w:t>、现场绩效评价及</w:t>
            </w:r>
            <w:r>
              <w:rPr>
                <w:rFonts w:hint="eastAsia" w:ascii="仿宋" w:hAnsi="仿宋" w:eastAsia="仿宋" w:cs="宋体"/>
                <w:color w:val="000000"/>
                <w:kern w:val="0"/>
                <w:sz w:val="22"/>
                <w:szCs w:val="22"/>
              </w:rPr>
              <w:t>总报告</w:t>
            </w:r>
            <w:r>
              <w:rPr>
                <w:rFonts w:hint="eastAsia" w:ascii="仿宋" w:hAnsi="仿宋" w:eastAsia="仿宋" w:cs="宋体"/>
                <w:color w:val="000000"/>
                <w:kern w:val="0"/>
                <w:sz w:val="22"/>
                <w:szCs w:val="22"/>
                <w:lang w:eastAsia="zh-CN"/>
              </w:rPr>
              <w:t>撰写</w:t>
            </w:r>
            <w:r>
              <w:rPr>
                <w:rFonts w:hint="eastAsia" w:ascii="仿宋" w:hAnsi="仿宋" w:eastAsia="仿宋" w:cs="宋体"/>
                <w:color w:val="000000"/>
                <w:kern w:val="0"/>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51" w:type="dxa"/>
            <w:tcBorders>
              <w:tl2br w:val="nil"/>
              <w:tr2bl w:val="nil"/>
            </w:tcBorders>
            <w:shd w:val="clear" w:color="auto" w:fill="auto"/>
            <w:vAlign w:val="center"/>
          </w:tcPr>
          <w:p>
            <w:pPr>
              <w:widowControl/>
              <w:jc w:val="center"/>
              <w:rPr>
                <w:rFonts w:hint="eastAsia" w:ascii="仿宋" w:hAnsi="仿宋" w:eastAsia="仿宋" w:cs="宋体"/>
                <w:kern w:val="0"/>
                <w:sz w:val="22"/>
                <w:szCs w:val="22"/>
                <w:lang w:eastAsia="zh-CN"/>
              </w:rPr>
            </w:pPr>
            <w:r>
              <w:rPr>
                <w:rFonts w:hint="eastAsia" w:ascii="仿宋" w:hAnsi="仿宋" w:eastAsia="仿宋" w:cs="宋体"/>
                <w:kern w:val="0"/>
                <w:sz w:val="22"/>
                <w:szCs w:val="22"/>
                <w:lang w:val="en-US" w:eastAsia="zh-CN"/>
              </w:rPr>
              <w:t>5</w:t>
            </w:r>
          </w:p>
        </w:tc>
        <w:tc>
          <w:tcPr>
            <w:tcW w:w="992" w:type="dxa"/>
            <w:tcBorders>
              <w:tl2br w:val="nil"/>
              <w:tr2bl w:val="nil"/>
            </w:tcBorders>
            <w:shd w:val="clear" w:color="auto" w:fill="auto"/>
            <w:vAlign w:val="center"/>
          </w:tcPr>
          <w:p>
            <w:pPr>
              <w:widowControl/>
              <w:jc w:val="center"/>
              <w:rPr>
                <w:rFonts w:hint="default" w:ascii="仿宋" w:hAnsi="仿宋" w:eastAsia="仿宋" w:cs="宋体"/>
                <w:kern w:val="0"/>
                <w:sz w:val="22"/>
                <w:szCs w:val="22"/>
                <w:lang w:val="en-US" w:eastAsia="zh-CN"/>
              </w:rPr>
            </w:pPr>
            <w:r>
              <w:rPr>
                <w:rFonts w:hint="eastAsia" w:ascii="仿宋" w:hAnsi="仿宋" w:eastAsia="仿宋" w:cs="宋体"/>
                <w:kern w:val="0"/>
                <w:sz w:val="22"/>
                <w:szCs w:val="22"/>
                <w:lang w:val="en-US" w:eastAsia="zh-CN"/>
              </w:rPr>
              <w:t>张晓兰</w:t>
            </w:r>
          </w:p>
        </w:tc>
        <w:tc>
          <w:tcPr>
            <w:tcW w:w="1323" w:type="dxa"/>
            <w:tcBorders>
              <w:tl2br w:val="nil"/>
              <w:tr2bl w:val="nil"/>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绩效评价组成员</w:t>
            </w:r>
          </w:p>
        </w:tc>
        <w:tc>
          <w:tcPr>
            <w:tcW w:w="1512" w:type="dxa"/>
            <w:tcBorders>
              <w:tl2br w:val="nil"/>
              <w:tr2bl w:val="nil"/>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中级会计师</w:t>
            </w:r>
          </w:p>
        </w:tc>
        <w:tc>
          <w:tcPr>
            <w:tcW w:w="4202" w:type="dxa"/>
            <w:tcBorders>
              <w:tl2br w:val="nil"/>
              <w:tr2bl w:val="nil"/>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参与现场绩效评价、问卷调查等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51" w:type="dxa"/>
            <w:tcBorders>
              <w:tl2br w:val="nil"/>
              <w:tr2bl w:val="nil"/>
            </w:tcBorders>
            <w:shd w:val="clear" w:color="auto" w:fill="auto"/>
            <w:vAlign w:val="center"/>
          </w:tcPr>
          <w:p>
            <w:pPr>
              <w:widowControl/>
              <w:jc w:val="center"/>
              <w:rPr>
                <w:rFonts w:hint="eastAsia" w:ascii="仿宋" w:hAnsi="仿宋" w:eastAsia="仿宋" w:cs="宋体"/>
                <w:kern w:val="0"/>
                <w:sz w:val="22"/>
                <w:szCs w:val="22"/>
                <w:lang w:eastAsia="zh-CN"/>
              </w:rPr>
            </w:pPr>
            <w:r>
              <w:rPr>
                <w:rFonts w:hint="eastAsia" w:ascii="仿宋" w:hAnsi="仿宋" w:eastAsia="仿宋" w:cs="宋体"/>
                <w:kern w:val="0"/>
                <w:sz w:val="22"/>
                <w:szCs w:val="22"/>
                <w:lang w:val="en-US" w:eastAsia="zh-CN"/>
              </w:rPr>
              <w:t>6</w:t>
            </w:r>
          </w:p>
        </w:tc>
        <w:tc>
          <w:tcPr>
            <w:tcW w:w="992" w:type="dxa"/>
            <w:tcBorders>
              <w:tl2br w:val="nil"/>
              <w:tr2bl w:val="nil"/>
            </w:tcBorders>
            <w:shd w:val="clear" w:color="auto" w:fill="auto"/>
            <w:vAlign w:val="center"/>
          </w:tcPr>
          <w:p>
            <w:pPr>
              <w:widowControl/>
              <w:jc w:val="center"/>
              <w:rPr>
                <w:rFonts w:hint="default" w:ascii="仿宋" w:hAnsi="仿宋" w:eastAsia="仿宋" w:cs="宋体"/>
                <w:kern w:val="0"/>
                <w:sz w:val="22"/>
                <w:szCs w:val="22"/>
                <w:lang w:val="en-US" w:eastAsia="zh-CN"/>
              </w:rPr>
            </w:pPr>
            <w:r>
              <w:rPr>
                <w:rFonts w:hint="eastAsia" w:ascii="仿宋" w:hAnsi="仿宋" w:eastAsia="仿宋" w:cs="宋体"/>
                <w:kern w:val="0"/>
                <w:sz w:val="22"/>
                <w:szCs w:val="22"/>
                <w:lang w:val="en-US" w:eastAsia="zh-CN"/>
              </w:rPr>
              <w:t>王晶</w:t>
            </w:r>
          </w:p>
        </w:tc>
        <w:tc>
          <w:tcPr>
            <w:tcW w:w="1323" w:type="dxa"/>
            <w:tcBorders>
              <w:tl2br w:val="nil"/>
              <w:tr2bl w:val="nil"/>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绩效评价组成员</w:t>
            </w:r>
          </w:p>
        </w:tc>
        <w:tc>
          <w:tcPr>
            <w:tcW w:w="1512" w:type="dxa"/>
            <w:tcBorders>
              <w:tl2br w:val="nil"/>
              <w:tr2bl w:val="nil"/>
            </w:tcBorders>
            <w:shd w:val="clear" w:color="auto" w:fill="auto"/>
            <w:vAlign w:val="center"/>
          </w:tcPr>
          <w:p>
            <w:pPr>
              <w:widowControl/>
              <w:jc w:val="center"/>
              <w:rPr>
                <w:rFonts w:hint="eastAsia" w:ascii="仿宋" w:hAnsi="仿宋" w:eastAsia="仿宋" w:cs="宋体"/>
                <w:color w:val="000000"/>
                <w:kern w:val="0"/>
                <w:sz w:val="22"/>
                <w:szCs w:val="22"/>
                <w:lang w:eastAsia="zh-CN"/>
              </w:rPr>
            </w:pPr>
            <w:r>
              <w:rPr>
                <w:rFonts w:hint="eastAsia" w:ascii="仿宋" w:hAnsi="仿宋" w:eastAsia="仿宋" w:cs="宋体"/>
                <w:kern w:val="0"/>
                <w:sz w:val="22"/>
                <w:szCs w:val="22"/>
                <w:lang w:eastAsia="zh-CN"/>
              </w:rPr>
              <w:t>助理</w:t>
            </w:r>
          </w:p>
        </w:tc>
        <w:tc>
          <w:tcPr>
            <w:tcW w:w="4202" w:type="dxa"/>
            <w:tcBorders>
              <w:tl2br w:val="nil"/>
              <w:tr2bl w:val="nil"/>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参与现场绩效评价、问卷调查等</w:t>
            </w:r>
          </w:p>
        </w:tc>
      </w:tr>
    </w:tbl>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2.评价时间及主要工作进程安排</w:t>
      </w:r>
      <w:bookmarkEnd w:id="82"/>
    </w:p>
    <w:p>
      <w:pPr>
        <w:spacing w:line="560" w:lineRule="exact"/>
        <w:ind w:firstLine="560" w:firstLineChars="200"/>
        <w:rPr>
          <w:rFonts w:ascii="仿宋" w:hAnsi="仿宋" w:eastAsia="仿宋" w:cs="仿宋"/>
          <w:sz w:val="28"/>
          <w:szCs w:val="28"/>
        </w:rPr>
      </w:pPr>
      <w:bookmarkStart w:id="83" w:name="_Toc3505"/>
      <w:bookmarkStart w:id="84" w:name="_Toc30269_WPSOffice_Level1"/>
      <w:bookmarkStart w:id="85" w:name="_Toc19653_WPSOffice_Level1"/>
      <w:r>
        <w:rPr>
          <w:rFonts w:hint="eastAsia" w:ascii="仿宋" w:hAnsi="仿宋" w:eastAsia="仿宋" w:cs="仿宋"/>
          <w:sz w:val="28"/>
          <w:szCs w:val="28"/>
        </w:rPr>
        <w:t>绩效评价工作分为评价准备阶段、评价实施阶段和评价报告撰写阶段。</w:t>
      </w:r>
    </w:p>
    <w:p>
      <w:pPr>
        <w:widowControl w:val="0"/>
        <w:numPr>
          <w:ilvl w:val="0"/>
          <w:numId w:val="0"/>
        </w:numPr>
        <w:tabs>
          <w:tab w:val="left" w:pos="4813"/>
        </w:tabs>
        <w:ind w:firstLine="560" w:firstLineChars="200"/>
        <w:jc w:val="left"/>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lang w:val="en-US" w:eastAsia="zh-CN" w:bidi="ar-SA"/>
        </w:rPr>
        <w:t>①评价准备阶段（2021年8月26</w:t>
      </w:r>
      <w:r>
        <w:rPr>
          <w:rFonts w:hint="eastAsia" w:ascii="仿宋" w:hAnsi="仿宋" w:eastAsia="仿宋" w:cs="仿宋"/>
          <w:b w:val="0"/>
          <w:bCs w:val="0"/>
          <w:kern w:val="2"/>
          <w:sz w:val="28"/>
          <w:szCs w:val="28"/>
          <w:highlight w:val="none"/>
          <w:lang w:val="en-US" w:eastAsia="zh-CN" w:bidi="ar-SA"/>
        </w:rPr>
        <w:t>日—9月12日）</w:t>
      </w:r>
    </w:p>
    <w:p>
      <w:pPr>
        <w:widowControl w:val="0"/>
        <w:numPr>
          <w:ilvl w:val="0"/>
          <w:numId w:val="0"/>
        </w:numPr>
        <w:tabs>
          <w:tab w:val="left" w:pos="4813"/>
        </w:tabs>
        <w:ind w:firstLine="560" w:firstLineChars="200"/>
        <w:jc w:val="left"/>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制定项目评价实施方案。评价人员与被评价</w:t>
      </w:r>
      <w:r>
        <w:rPr>
          <w:rFonts w:hint="eastAsia" w:ascii="仿宋" w:hAnsi="仿宋" w:eastAsia="仿宋" w:cs="仿宋"/>
          <w:b w:val="0"/>
          <w:bCs w:val="0"/>
          <w:sz w:val="28"/>
          <w:szCs w:val="28"/>
          <w:highlight w:val="none"/>
          <w:lang w:val="en-US" w:eastAsia="zh-CN"/>
        </w:rPr>
        <w:t>项目</w:t>
      </w:r>
      <w:r>
        <w:rPr>
          <w:rFonts w:hint="eastAsia" w:ascii="仿宋" w:hAnsi="仿宋" w:eastAsia="仿宋" w:cs="仿宋"/>
          <w:b w:val="0"/>
          <w:bCs w:val="0"/>
          <w:kern w:val="2"/>
          <w:sz w:val="28"/>
          <w:szCs w:val="28"/>
          <w:highlight w:val="none"/>
          <w:lang w:val="en-US" w:eastAsia="zh-CN" w:bidi="ar-SA"/>
        </w:rPr>
        <w:t>负责人进行沟通、了解，并在收集、审核相关资料的基础上，根据项目具体情况制定绩效评价实施方案，拟定评价指标体系，细化评分标准，2021年9月15日报临猗县财政局审核，</w:t>
      </w:r>
      <w:r>
        <w:rPr>
          <w:rFonts w:hint="eastAsia" w:ascii="仿宋" w:hAnsi="仿宋" w:eastAsia="仿宋" w:cs="仿宋"/>
          <w:sz w:val="28"/>
          <w:szCs w:val="28"/>
          <w:highlight w:val="none"/>
        </w:rPr>
        <w:t>评价小组根据审核论证意见对方案和指标进行修改并完善，确定绩效评价方案、指标体系、调查问卷及访谈内容</w:t>
      </w:r>
      <w:r>
        <w:rPr>
          <w:rFonts w:hint="eastAsia" w:ascii="仿宋" w:hAnsi="仿宋" w:eastAsia="仿宋" w:cs="仿宋"/>
          <w:b w:val="0"/>
          <w:bCs w:val="0"/>
          <w:kern w:val="2"/>
          <w:sz w:val="28"/>
          <w:szCs w:val="28"/>
          <w:highlight w:val="none"/>
          <w:lang w:val="en-US" w:eastAsia="zh-CN" w:bidi="ar-SA"/>
        </w:rPr>
        <w:t>。</w:t>
      </w:r>
    </w:p>
    <w:p>
      <w:pPr>
        <w:widowControl w:val="0"/>
        <w:numPr>
          <w:ilvl w:val="0"/>
          <w:numId w:val="0"/>
        </w:numPr>
        <w:tabs>
          <w:tab w:val="left" w:pos="4813"/>
        </w:tabs>
        <w:ind w:firstLine="560" w:firstLineChars="200"/>
        <w:jc w:val="left"/>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②评价实施阶段（2021年9月15日—10月10日）</w:t>
      </w:r>
    </w:p>
    <w:p>
      <w:pPr>
        <w:widowControl w:val="0"/>
        <w:numPr>
          <w:ilvl w:val="0"/>
          <w:numId w:val="0"/>
        </w:numPr>
        <w:tabs>
          <w:tab w:val="left" w:pos="4813"/>
        </w:tabs>
        <w:ind w:firstLine="560" w:firstLineChars="200"/>
        <w:jc w:val="left"/>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评价组根据确定的工作方案，下发基础表、资料清单等至被评价单位，由项目负责人填写基础表，准备相关资料。评价组进行实地数据采集，完善评价基础资料，并进行查验，深入了解项目情况。同时，对该项目进行问卷调查。</w:t>
      </w:r>
    </w:p>
    <w:p>
      <w:pPr>
        <w:widowControl w:val="0"/>
        <w:numPr>
          <w:ilvl w:val="0"/>
          <w:numId w:val="0"/>
        </w:numPr>
        <w:tabs>
          <w:tab w:val="left" w:pos="4813"/>
        </w:tabs>
        <w:ind w:firstLine="560" w:firstLineChars="200"/>
        <w:jc w:val="left"/>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③评价报告撰写阶段（2021年10月11日—10月25日）</w:t>
      </w:r>
    </w:p>
    <w:p>
      <w:pPr>
        <w:widowControl w:val="0"/>
        <w:numPr>
          <w:ilvl w:val="0"/>
          <w:numId w:val="0"/>
        </w:numPr>
        <w:tabs>
          <w:tab w:val="left" w:pos="4813"/>
        </w:tabs>
        <w:ind w:firstLine="560" w:firstLineChars="200"/>
        <w:jc w:val="left"/>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评价组整理、综合分析项目相关信息，根据评价指标体系、评价标准和评价方法，对评价对象的绩效情况进行全面的定量、定性分析和综合评价，并提炼结论撰写绩效评价报告。2021年10月26日提交报告初稿进行评审，依据专家评审意见对报告进行修改完善，10月31日形成绩效评价报告终稿提交临猗县财政局。</w:t>
      </w:r>
    </w:p>
    <w:p>
      <w:pPr>
        <w:widowControl/>
        <w:numPr>
          <w:ilvl w:val="0"/>
          <w:numId w:val="0"/>
        </w:numPr>
        <w:spacing w:line="560" w:lineRule="exact"/>
        <w:ind w:firstLine="562" w:firstLineChars="200"/>
        <w:outlineLvl w:val="1"/>
        <w:rPr>
          <w:rFonts w:hint="eastAsia" w:ascii="仿宋" w:hAnsi="仿宋" w:eastAsia="仿宋" w:cs="仿宋"/>
          <w:b/>
          <w:bCs w:val="0"/>
          <w:sz w:val="28"/>
          <w:szCs w:val="28"/>
          <w:lang w:val="en-US" w:eastAsia="zh-CN" w:bidi="ar"/>
        </w:rPr>
      </w:pPr>
      <w:r>
        <w:rPr>
          <w:rFonts w:hint="eastAsia" w:ascii="仿宋" w:hAnsi="仿宋" w:eastAsia="仿宋" w:cs="仿宋"/>
          <w:b/>
          <w:bCs w:val="0"/>
          <w:sz w:val="28"/>
          <w:szCs w:val="28"/>
          <w:lang w:val="en-US" w:eastAsia="zh-CN" w:bidi="ar"/>
        </w:rPr>
        <w:t>（六）绩效评价指标体系</w:t>
      </w:r>
      <w:bookmarkEnd w:id="83"/>
      <w:bookmarkEnd w:id="84"/>
      <w:bookmarkEnd w:id="85"/>
    </w:p>
    <w:p>
      <w:pPr>
        <w:spacing w:line="560" w:lineRule="exact"/>
        <w:ind w:firstLine="562" w:firstLineChars="200"/>
        <w:rPr>
          <w:rFonts w:ascii="仿宋" w:hAnsi="仿宋" w:eastAsia="仿宋" w:cs="仿宋"/>
          <w:b/>
          <w:bCs/>
          <w:sz w:val="28"/>
          <w:szCs w:val="28"/>
        </w:rPr>
      </w:pPr>
      <w:bookmarkStart w:id="86" w:name="_Toc10901_WPSOffice_Level2"/>
      <w:bookmarkStart w:id="87" w:name="_Toc9216_WPSOffice_Level2"/>
      <w:r>
        <w:rPr>
          <w:rFonts w:hint="eastAsia" w:ascii="仿宋" w:hAnsi="仿宋" w:eastAsia="仿宋" w:cs="仿宋"/>
          <w:b/>
          <w:bCs/>
          <w:sz w:val="28"/>
          <w:szCs w:val="28"/>
          <w:lang w:val="en-US" w:eastAsia="zh-CN"/>
        </w:rPr>
        <w:t>1.</w:t>
      </w:r>
      <w:r>
        <w:rPr>
          <w:rFonts w:hint="eastAsia" w:ascii="仿宋" w:hAnsi="仿宋" w:eastAsia="仿宋" w:cs="仿宋"/>
          <w:b/>
          <w:bCs/>
          <w:sz w:val="28"/>
          <w:szCs w:val="28"/>
        </w:rPr>
        <w:t>指标体系设计思路</w:t>
      </w:r>
      <w:bookmarkEnd w:id="86"/>
      <w:bookmarkEnd w:id="87"/>
    </w:p>
    <w:p>
      <w:pPr>
        <w:spacing w:line="560" w:lineRule="exact"/>
        <w:ind w:firstLine="560" w:firstLineChars="200"/>
        <w:rPr>
          <w:rFonts w:ascii="仿宋" w:hAnsi="仿宋" w:eastAsia="仿宋" w:cs="仿宋"/>
          <w:bCs/>
          <w:sz w:val="28"/>
          <w:szCs w:val="28"/>
        </w:rPr>
      </w:pPr>
      <w:bookmarkStart w:id="88" w:name="_Toc9340_WPSOffice_Level2"/>
      <w:bookmarkStart w:id="89" w:name="_Toc8936_WPSOffice_Level2"/>
      <w:r>
        <w:rPr>
          <w:rFonts w:hint="eastAsia" w:ascii="仿宋" w:hAnsi="仿宋" w:eastAsia="仿宋" w:cs="仿宋"/>
          <w:bCs/>
          <w:sz w:val="28"/>
          <w:szCs w:val="28"/>
        </w:rPr>
        <w:t>根据绩效评价的基本原理、原则和项目特点，结合绩效目标，根据</w:t>
      </w:r>
      <w:r>
        <w:rPr>
          <w:rFonts w:hint="eastAsia" w:ascii="仿宋" w:hAnsi="仿宋" w:eastAsia="仿宋" w:cs="仿宋"/>
          <w:kern w:val="2"/>
          <w:sz w:val="28"/>
          <w:szCs w:val="28"/>
          <w:lang w:val="en-US" w:eastAsia="zh-CN" w:bidi="ar-SA"/>
        </w:rPr>
        <w:t>《项目支出绩效评价管理办法》（财预〔2020〕10号）</w:t>
      </w:r>
      <w:r>
        <w:rPr>
          <w:rFonts w:hint="eastAsia" w:ascii="仿宋" w:hAnsi="仿宋" w:eastAsia="仿宋" w:cs="仿宋"/>
          <w:bCs/>
          <w:sz w:val="28"/>
          <w:szCs w:val="28"/>
        </w:rPr>
        <w:t>等相关文件规定，按照</w:t>
      </w:r>
      <w:r>
        <w:rPr>
          <w:rFonts w:hint="eastAsia" w:ascii="仿宋" w:hAnsi="仿宋" w:eastAsia="仿宋" w:cs="仿宋"/>
          <w:bCs/>
          <w:sz w:val="28"/>
          <w:szCs w:val="28"/>
          <w:highlight w:val="none"/>
        </w:rPr>
        <w:t>“</w:t>
      </w:r>
      <w:r>
        <w:rPr>
          <w:rFonts w:hint="eastAsia" w:ascii="仿宋" w:hAnsi="仿宋" w:eastAsia="仿宋" w:cs="仿宋"/>
          <w:bCs/>
          <w:sz w:val="28"/>
          <w:szCs w:val="28"/>
          <w:highlight w:val="none"/>
          <w:lang w:val="en-US" w:eastAsia="zh-CN"/>
        </w:rPr>
        <w:t>决策</w:t>
      </w:r>
      <w:r>
        <w:rPr>
          <w:rFonts w:hint="eastAsia" w:ascii="仿宋" w:hAnsi="仿宋" w:eastAsia="仿宋" w:cs="仿宋"/>
          <w:bCs/>
          <w:sz w:val="28"/>
          <w:szCs w:val="28"/>
          <w:highlight w:val="none"/>
        </w:rPr>
        <w:t>-过程-产出-效益”</w:t>
      </w:r>
      <w:r>
        <w:rPr>
          <w:rFonts w:hint="eastAsia" w:ascii="仿宋" w:hAnsi="仿宋" w:eastAsia="仿宋" w:cs="仿宋"/>
          <w:bCs/>
          <w:sz w:val="28"/>
          <w:szCs w:val="28"/>
        </w:rPr>
        <w:t>的逻辑思路对绩效目标进行分解，结合计划标准、通用标准等制定指标目标值，形成</w:t>
      </w:r>
      <w:r>
        <w:rPr>
          <w:rFonts w:hint="eastAsia" w:ascii="仿宋" w:hAnsi="仿宋" w:eastAsia="仿宋" w:cs="仿宋"/>
          <w:bCs/>
          <w:sz w:val="28"/>
          <w:szCs w:val="28"/>
          <w:lang w:eastAsia="zh-CN"/>
        </w:rPr>
        <w:t>临猗县基本公共卫生项目</w:t>
      </w:r>
      <w:r>
        <w:rPr>
          <w:rFonts w:hint="eastAsia" w:ascii="仿宋" w:hAnsi="仿宋" w:eastAsia="仿宋" w:cs="仿宋"/>
          <w:bCs/>
          <w:sz w:val="28"/>
          <w:szCs w:val="28"/>
        </w:rPr>
        <w:t>绩效评价指标体系。</w:t>
      </w:r>
    </w:p>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评价指标设置</w:t>
      </w:r>
      <w:bookmarkEnd w:id="88"/>
      <w:bookmarkEnd w:id="89"/>
    </w:p>
    <w:p>
      <w:pPr>
        <w:spacing w:line="560" w:lineRule="exact"/>
        <w:ind w:firstLine="560" w:firstLineChars="200"/>
        <w:rPr>
          <w:rFonts w:hint="eastAsia" w:ascii="仿宋" w:hAnsi="仿宋" w:eastAsia="仿宋" w:cs="仿宋"/>
          <w:bCs/>
          <w:sz w:val="28"/>
          <w:szCs w:val="28"/>
          <w:highlight w:val="none"/>
        </w:rPr>
      </w:pPr>
      <w:bookmarkStart w:id="90" w:name="_Toc31629_WPSOffice_Level3"/>
      <w:bookmarkStart w:id="91" w:name="_Toc6697_WPSOffice_Level1"/>
      <w:bookmarkStart w:id="92" w:name="_Toc9017_WPSOffice_Level1"/>
      <w:bookmarkStart w:id="93" w:name="_Toc29448_WPSOffice_Level1"/>
      <w:r>
        <w:rPr>
          <w:rFonts w:hint="eastAsia" w:ascii="仿宋" w:hAnsi="仿宋" w:eastAsia="仿宋" w:cs="仿宋"/>
          <w:bCs/>
          <w:sz w:val="28"/>
          <w:szCs w:val="28"/>
          <w:highlight w:val="none"/>
        </w:rPr>
        <w:t>本次绩效评价从</w:t>
      </w:r>
      <w:r>
        <w:rPr>
          <w:rFonts w:hint="eastAsia" w:ascii="仿宋" w:hAnsi="仿宋" w:eastAsia="仿宋" w:cs="仿宋"/>
          <w:bCs/>
          <w:sz w:val="28"/>
          <w:szCs w:val="28"/>
          <w:highlight w:val="none"/>
          <w:lang w:val="en-US" w:eastAsia="zh-CN"/>
        </w:rPr>
        <w:t>决策</w:t>
      </w:r>
      <w:r>
        <w:rPr>
          <w:rFonts w:hint="eastAsia" w:ascii="仿宋" w:hAnsi="仿宋" w:eastAsia="仿宋" w:cs="仿宋"/>
          <w:bCs/>
          <w:sz w:val="28"/>
          <w:szCs w:val="28"/>
          <w:highlight w:val="none"/>
        </w:rPr>
        <w:t>、过程、产出、效益</w:t>
      </w:r>
      <w:r>
        <w:rPr>
          <w:rFonts w:hint="eastAsia" w:ascii="仿宋" w:hAnsi="仿宋" w:eastAsia="仿宋" w:cs="仿宋"/>
          <w:bCs/>
          <w:sz w:val="28"/>
          <w:szCs w:val="28"/>
          <w:highlight w:val="none"/>
          <w:lang w:val="en-US" w:eastAsia="zh-CN"/>
        </w:rPr>
        <w:t>四</w:t>
      </w:r>
      <w:r>
        <w:rPr>
          <w:rFonts w:hint="eastAsia" w:ascii="仿宋" w:hAnsi="仿宋" w:eastAsia="仿宋" w:cs="仿宋"/>
          <w:bCs/>
          <w:sz w:val="28"/>
          <w:szCs w:val="28"/>
          <w:highlight w:val="none"/>
        </w:rPr>
        <w:t>方面进行评价。绩效评价指标共分三级。一级指标</w:t>
      </w:r>
      <w:r>
        <w:rPr>
          <w:rFonts w:hint="eastAsia" w:ascii="仿宋" w:hAnsi="仿宋" w:eastAsia="仿宋" w:cs="仿宋"/>
          <w:bCs/>
          <w:sz w:val="28"/>
          <w:szCs w:val="28"/>
          <w:highlight w:val="none"/>
          <w:lang w:val="en-US" w:eastAsia="zh-CN"/>
        </w:rPr>
        <w:t>四</w:t>
      </w:r>
      <w:r>
        <w:rPr>
          <w:rFonts w:hint="eastAsia" w:ascii="仿宋" w:hAnsi="仿宋" w:eastAsia="仿宋" w:cs="仿宋"/>
          <w:bCs/>
          <w:sz w:val="28"/>
          <w:szCs w:val="28"/>
          <w:highlight w:val="none"/>
        </w:rPr>
        <w:t>个：</w:t>
      </w:r>
      <w:r>
        <w:rPr>
          <w:rFonts w:hint="eastAsia" w:ascii="仿宋" w:hAnsi="仿宋" w:eastAsia="仿宋" w:cs="仿宋"/>
          <w:bCs/>
          <w:sz w:val="28"/>
          <w:szCs w:val="28"/>
          <w:highlight w:val="none"/>
          <w:lang w:val="en-US" w:eastAsia="zh-CN"/>
        </w:rPr>
        <w:t>决策</w:t>
      </w:r>
      <w:r>
        <w:rPr>
          <w:rFonts w:hint="eastAsia" w:ascii="仿宋" w:hAnsi="仿宋" w:eastAsia="仿宋" w:cs="仿宋"/>
          <w:bCs/>
          <w:sz w:val="28"/>
          <w:szCs w:val="28"/>
          <w:highlight w:val="none"/>
        </w:rPr>
        <w:t>（</w:t>
      </w:r>
      <w:r>
        <w:rPr>
          <w:rFonts w:hint="eastAsia" w:ascii="仿宋" w:hAnsi="仿宋" w:eastAsia="仿宋" w:cs="仿宋"/>
          <w:bCs/>
          <w:sz w:val="28"/>
          <w:szCs w:val="28"/>
          <w:highlight w:val="none"/>
          <w:lang w:val="en-US" w:eastAsia="zh-CN"/>
        </w:rPr>
        <w:t>8</w:t>
      </w:r>
      <w:r>
        <w:rPr>
          <w:rFonts w:hint="eastAsia" w:ascii="仿宋" w:hAnsi="仿宋" w:eastAsia="仿宋" w:cs="仿宋"/>
          <w:bCs/>
          <w:sz w:val="28"/>
          <w:szCs w:val="28"/>
          <w:highlight w:val="none"/>
        </w:rPr>
        <w:t>分）、过程（</w:t>
      </w:r>
      <w:r>
        <w:rPr>
          <w:rFonts w:hint="eastAsia" w:ascii="仿宋" w:hAnsi="仿宋" w:eastAsia="仿宋" w:cs="仿宋"/>
          <w:bCs/>
          <w:sz w:val="28"/>
          <w:szCs w:val="28"/>
          <w:highlight w:val="none"/>
          <w:lang w:val="en-US" w:eastAsia="zh-CN"/>
        </w:rPr>
        <w:t>24</w:t>
      </w:r>
      <w:r>
        <w:rPr>
          <w:rFonts w:hint="eastAsia" w:ascii="仿宋" w:hAnsi="仿宋" w:eastAsia="仿宋" w:cs="仿宋"/>
          <w:bCs/>
          <w:sz w:val="28"/>
          <w:szCs w:val="28"/>
          <w:highlight w:val="none"/>
        </w:rPr>
        <w:t>分）、产出（</w:t>
      </w:r>
      <w:r>
        <w:rPr>
          <w:rFonts w:hint="eastAsia" w:ascii="仿宋" w:hAnsi="仿宋" w:eastAsia="仿宋" w:cs="仿宋"/>
          <w:bCs/>
          <w:sz w:val="28"/>
          <w:szCs w:val="28"/>
          <w:highlight w:val="none"/>
          <w:lang w:val="en-US" w:eastAsia="zh-CN"/>
        </w:rPr>
        <w:t>40</w:t>
      </w:r>
      <w:r>
        <w:rPr>
          <w:rFonts w:hint="eastAsia" w:ascii="仿宋" w:hAnsi="仿宋" w:eastAsia="仿宋" w:cs="仿宋"/>
          <w:bCs/>
          <w:sz w:val="28"/>
          <w:szCs w:val="28"/>
          <w:highlight w:val="none"/>
        </w:rPr>
        <w:t>分）、</w:t>
      </w:r>
      <w:r>
        <w:rPr>
          <w:rFonts w:hint="eastAsia" w:ascii="仿宋" w:hAnsi="仿宋" w:eastAsia="仿宋" w:cs="仿宋"/>
          <w:bCs/>
          <w:sz w:val="28"/>
          <w:szCs w:val="28"/>
          <w:highlight w:val="none"/>
          <w:lang w:val="en-US" w:eastAsia="zh-CN"/>
        </w:rPr>
        <w:t>效益</w:t>
      </w:r>
      <w:r>
        <w:rPr>
          <w:rFonts w:hint="eastAsia" w:ascii="仿宋" w:hAnsi="仿宋" w:eastAsia="仿宋" w:cs="仿宋"/>
          <w:bCs/>
          <w:sz w:val="28"/>
          <w:szCs w:val="28"/>
          <w:highlight w:val="none"/>
        </w:rPr>
        <w:t>（</w:t>
      </w:r>
      <w:r>
        <w:rPr>
          <w:rFonts w:hint="eastAsia" w:ascii="仿宋" w:hAnsi="仿宋" w:eastAsia="仿宋" w:cs="仿宋"/>
          <w:bCs/>
          <w:sz w:val="28"/>
          <w:szCs w:val="28"/>
          <w:highlight w:val="none"/>
          <w:lang w:val="en-US" w:eastAsia="zh-CN"/>
        </w:rPr>
        <w:t>28</w:t>
      </w:r>
      <w:r>
        <w:rPr>
          <w:rFonts w:hint="eastAsia" w:ascii="仿宋" w:hAnsi="仿宋" w:eastAsia="仿宋" w:cs="仿宋"/>
          <w:bCs/>
          <w:sz w:val="28"/>
          <w:szCs w:val="28"/>
          <w:highlight w:val="none"/>
        </w:rPr>
        <w:t>分）；二级指标</w:t>
      </w:r>
      <w:r>
        <w:rPr>
          <w:rFonts w:hint="eastAsia" w:ascii="仿宋" w:hAnsi="仿宋" w:eastAsia="仿宋" w:cs="仿宋"/>
          <w:bCs/>
          <w:sz w:val="28"/>
          <w:szCs w:val="28"/>
          <w:highlight w:val="none"/>
          <w:lang w:val="en-US" w:eastAsia="zh-CN"/>
        </w:rPr>
        <w:t>二十八</w:t>
      </w:r>
      <w:r>
        <w:rPr>
          <w:rFonts w:hint="eastAsia" w:ascii="仿宋" w:hAnsi="仿宋" w:eastAsia="仿宋" w:cs="仿宋"/>
          <w:bCs/>
          <w:sz w:val="28"/>
          <w:szCs w:val="28"/>
          <w:highlight w:val="none"/>
        </w:rPr>
        <w:t>个：</w:t>
      </w:r>
      <w:r>
        <w:rPr>
          <w:rFonts w:hint="eastAsia" w:ascii="仿宋" w:hAnsi="仿宋" w:eastAsia="仿宋" w:cs="仿宋"/>
          <w:bCs/>
          <w:sz w:val="28"/>
          <w:szCs w:val="28"/>
          <w:highlight w:val="none"/>
          <w:lang w:eastAsia="zh-CN"/>
        </w:rPr>
        <w:t>其中</w:t>
      </w:r>
      <w:r>
        <w:rPr>
          <w:rFonts w:hint="eastAsia" w:ascii="仿宋" w:hAnsi="仿宋" w:eastAsia="仿宋" w:cs="仿宋"/>
          <w:bCs/>
          <w:sz w:val="28"/>
          <w:szCs w:val="28"/>
          <w:highlight w:val="none"/>
          <w:lang w:val="en-US" w:eastAsia="zh-CN"/>
        </w:rPr>
        <w:t>决策</w:t>
      </w:r>
      <w:r>
        <w:rPr>
          <w:rFonts w:hint="eastAsia" w:ascii="仿宋" w:hAnsi="仿宋" w:eastAsia="仿宋" w:cs="仿宋"/>
          <w:bCs/>
          <w:sz w:val="28"/>
          <w:szCs w:val="28"/>
          <w:highlight w:val="none"/>
          <w:lang w:eastAsia="zh-CN"/>
        </w:rPr>
        <w:t>类</w:t>
      </w:r>
      <w:r>
        <w:rPr>
          <w:rFonts w:hint="eastAsia" w:ascii="仿宋" w:hAnsi="仿宋" w:eastAsia="仿宋" w:cs="仿宋"/>
          <w:bCs/>
          <w:sz w:val="28"/>
          <w:szCs w:val="28"/>
          <w:highlight w:val="none"/>
          <w:lang w:val="en-US" w:eastAsia="zh-CN"/>
        </w:rPr>
        <w:t>三</w:t>
      </w:r>
      <w:r>
        <w:rPr>
          <w:rFonts w:hint="eastAsia" w:ascii="仿宋" w:hAnsi="仿宋" w:eastAsia="仿宋" w:cs="仿宋"/>
          <w:bCs/>
          <w:sz w:val="28"/>
          <w:szCs w:val="28"/>
          <w:highlight w:val="none"/>
          <w:lang w:eastAsia="zh-CN"/>
        </w:rPr>
        <w:t>个、过程类二个、产出类</w:t>
      </w:r>
      <w:r>
        <w:rPr>
          <w:rFonts w:hint="eastAsia" w:ascii="仿宋" w:hAnsi="仿宋" w:eastAsia="仿宋" w:cs="仿宋"/>
          <w:bCs/>
          <w:sz w:val="28"/>
          <w:szCs w:val="28"/>
          <w:highlight w:val="none"/>
          <w:lang w:val="en-US" w:eastAsia="zh-CN"/>
        </w:rPr>
        <w:t>十九</w:t>
      </w:r>
      <w:r>
        <w:rPr>
          <w:rFonts w:hint="eastAsia" w:ascii="仿宋" w:hAnsi="仿宋" w:eastAsia="仿宋" w:cs="仿宋"/>
          <w:bCs/>
          <w:sz w:val="28"/>
          <w:szCs w:val="28"/>
          <w:highlight w:val="none"/>
          <w:lang w:eastAsia="zh-CN"/>
        </w:rPr>
        <w:t>个、效益类</w:t>
      </w:r>
      <w:r>
        <w:rPr>
          <w:rFonts w:hint="eastAsia" w:ascii="仿宋" w:hAnsi="仿宋" w:eastAsia="仿宋" w:cs="仿宋"/>
          <w:bCs/>
          <w:sz w:val="28"/>
          <w:szCs w:val="28"/>
          <w:highlight w:val="none"/>
          <w:lang w:val="en-US" w:eastAsia="zh-CN"/>
        </w:rPr>
        <w:t>四</w:t>
      </w:r>
      <w:r>
        <w:rPr>
          <w:rFonts w:hint="eastAsia" w:ascii="仿宋" w:hAnsi="仿宋" w:eastAsia="仿宋" w:cs="仿宋"/>
          <w:bCs/>
          <w:sz w:val="28"/>
          <w:szCs w:val="28"/>
          <w:highlight w:val="none"/>
          <w:lang w:eastAsia="zh-CN"/>
        </w:rPr>
        <w:t>个</w:t>
      </w:r>
      <w:r>
        <w:rPr>
          <w:rFonts w:hint="eastAsia" w:ascii="仿宋" w:hAnsi="仿宋" w:eastAsia="仿宋" w:cs="仿宋"/>
          <w:bCs/>
          <w:sz w:val="28"/>
          <w:szCs w:val="28"/>
          <w:highlight w:val="none"/>
        </w:rPr>
        <w:t>；三级指标</w:t>
      </w:r>
      <w:r>
        <w:rPr>
          <w:rFonts w:hint="eastAsia" w:ascii="仿宋" w:hAnsi="仿宋" w:eastAsia="仿宋" w:cs="仿宋"/>
          <w:bCs/>
          <w:sz w:val="28"/>
          <w:szCs w:val="28"/>
          <w:highlight w:val="none"/>
          <w:lang w:val="en-US" w:eastAsia="zh-CN"/>
        </w:rPr>
        <w:t>五十六</w:t>
      </w:r>
      <w:r>
        <w:rPr>
          <w:rFonts w:hint="eastAsia" w:ascii="仿宋" w:hAnsi="仿宋" w:eastAsia="仿宋" w:cs="仿宋"/>
          <w:bCs/>
          <w:sz w:val="28"/>
          <w:szCs w:val="28"/>
          <w:highlight w:val="none"/>
        </w:rPr>
        <w:t>个，其中</w:t>
      </w:r>
      <w:r>
        <w:rPr>
          <w:rFonts w:hint="eastAsia" w:ascii="仿宋" w:hAnsi="仿宋" w:eastAsia="仿宋" w:cs="仿宋"/>
          <w:bCs/>
          <w:sz w:val="28"/>
          <w:szCs w:val="28"/>
          <w:highlight w:val="none"/>
          <w:lang w:val="en-US" w:eastAsia="zh-CN"/>
        </w:rPr>
        <w:t>决策</w:t>
      </w:r>
      <w:r>
        <w:rPr>
          <w:rFonts w:hint="eastAsia" w:ascii="仿宋" w:hAnsi="仿宋" w:eastAsia="仿宋" w:cs="仿宋"/>
          <w:bCs/>
          <w:sz w:val="28"/>
          <w:szCs w:val="28"/>
          <w:highlight w:val="none"/>
        </w:rPr>
        <w:t>类</w:t>
      </w:r>
      <w:r>
        <w:rPr>
          <w:rFonts w:hint="eastAsia" w:ascii="仿宋" w:hAnsi="仿宋" w:eastAsia="仿宋" w:cs="仿宋"/>
          <w:bCs/>
          <w:sz w:val="28"/>
          <w:szCs w:val="28"/>
          <w:highlight w:val="none"/>
          <w:lang w:val="en-US" w:eastAsia="zh-CN"/>
        </w:rPr>
        <w:t>五</w:t>
      </w:r>
      <w:r>
        <w:rPr>
          <w:rFonts w:hint="eastAsia" w:ascii="仿宋" w:hAnsi="仿宋" w:eastAsia="仿宋" w:cs="仿宋"/>
          <w:bCs/>
          <w:sz w:val="28"/>
          <w:szCs w:val="28"/>
          <w:highlight w:val="none"/>
        </w:rPr>
        <w:t>个、过程类</w:t>
      </w:r>
      <w:r>
        <w:rPr>
          <w:rFonts w:hint="eastAsia" w:ascii="仿宋" w:hAnsi="仿宋" w:eastAsia="仿宋" w:cs="仿宋"/>
          <w:bCs/>
          <w:sz w:val="28"/>
          <w:szCs w:val="28"/>
          <w:highlight w:val="none"/>
          <w:lang w:eastAsia="zh-CN"/>
        </w:rPr>
        <w:t>七</w:t>
      </w:r>
      <w:r>
        <w:rPr>
          <w:rFonts w:hint="eastAsia" w:ascii="仿宋" w:hAnsi="仿宋" w:eastAsia="仿宋" w:cs="仿宋"/>
          <w:bCs/>
          <w:sz w:val="28"/>
          <w:szCs w:val="28"/>
          <w:highlight w:val="none"/>
        </w:rPr>
        <w:t>个、产出类</w:t>
      </w:r>
      <w:r>
        <w:rPr>
          <w:rFonts w:hint="eastAsia" w:ascii="仿宋" w:hAnsi="仿宋" w:eastAsia="仿宋" w:cs="仿宋"/>
          <w:bCs/>
          <w:sz w:val="28"/>
          <w:szCs w:val="28"/>
          <w:highlight w:val="none"/>
          <w:lang w:val="en-US" w:eastAsia="zh-CN"/>
        </w:rPr>
        <w:t>三十四</w:t>
      </w:r>
      <w:r>
        <w:rPr>
          <w:rFonts w:hint="eastAsia" w:ascii="仿宋" w:hAnsi="仿宋" w:eastAsia="仿宋" w:cs="仿宋"/>
          <w:bCs/>
          <w:sz w:val="28"/>
          <w:szCs w:val="28"/>
          <w:highlight w:val="none"/>
        </w:rPr>
        <w:t>个、效益类</w:t>
      </w:r>
      <w:r>
        <w:rPr>
          <w:rFonts w:hint="eastAsia" w:ascii="仿宋" w:hAnsi="仿宋" w:eastAsia="仿宋" w:cs="仿宋"/>
          <w:bCs/>
          <w:sz w:val="28"/>
          <w:szCs w:val="28"/>
          <w:highlight w:val="none"/>
          <w:lang w:val="en-US" w:eastAsia="zh-CN"/>
        </w:rPr>
        <w:t>十</w:t>
      </w:r>
      <w:r>
        <w:rPr>
          <w:rFonts w:hint="eastAsia" w:ascii="仿宋" w:hAnsi="仿宋" w:eastAsia="仿宋" w:cs="仿宋"/>
          <w:bCs/>
          <w:sz w:val="28"/>
          <w:szCs w:val="28"/>
          <w:highlight w:val="none"/>
        </w:rPr>
        <w:t>个。</w:t>
      </w:r>
    </w:p>
    <w:bookmarkEnd w:id="90"/>
    <w:p>
      <w:pPr>
        <w:numPr>
          <w:ilvl w:val="0"/>
          <w:numId w:val="0"/>
        </w:numPr>
        <w:spacing w:line="560" w:lineRule="exact"/>
        <w:ind w:firstLine="560" w:firstLineChars="200"/>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lang w:val="en-US" w:eastAsia="zh-CN"/>
        </w:rPr>
        <w:t>（1）决策</w:t>
      </w:r>
      <w:r>
        <w:rPr>
          <w:rFonts w:hint="eastAsia" w:ascii="仿宋" w:hAnsi="仿宋" w:eastAsia="仿宋" w:cs="仿宋"/>
          <w:b w:val="0"/>
          <w:bCs w:val="0"/>
          <w:sz w:val="28"/>
          <w:szCs w:val="28"/>
          <w:highlight w:val="none"/>
        </w:rPr>
        <w:t>、</w:t>
      </w:r>
      <w:r>
        <w:rPr>
          <w:rFonts w:hint="eastAsia" w:ascii="仿宋" w:hAnsi="仿宋" w:eastAsia="仿宋" w:cs="仿宋"/>
          <w:b w:val="0"/>
          <w:bCs w:val="0"/>
          <w:sz w:val="28"/>
          <w:szCs w:val="28"/>
          <w:highlight w:val="none"/>
          <w:lang w:eastAsia="zh-CN"/>
        </w:rPr>
        <w:t>过程</w:t>
      </w:r>
      <w:r>
        <w:rPr>
          <w:rFonts w:hint="eastAsia" w:ascii="仿宋" w:hAnsi="仿宋" w:eastAsia="仿宋" w:cs="仿宋"/>
          <w:b w:val="0"/>
          <w:bCs w:val="0"/>
          <w:sz w:val="28"/>
          <w:szCs w:val="28"/>
          <w:highlight w:val="none"/>
        </w:rPr>
        <w:t>类指标设置</w:t>
      </w:r>
    </w:p>
    <w:p>
      <w:pPr>
        <w:numPr>
          <w:ilvl w:val="0"/>
          <w:numId w:val="0"/>
        </w:numPr>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lang w:eastAsia="zh-CN"/>
        </w:rPr>
        <w:t>临猗县基本公共卫生项目的</w:t>
      </w:r>
      <w:r>
        <w:rPr>
          <w:rFonts w:hint="eastAsia" w:ascii="仿宋" w:hAnsi="仿宋" w:eastAsia="仿宋" w:cs="仿宋"/>
          <w:bCs/>
          <w:sz w:val="28"/>
          <w:szCs w:val="28"/>
          <w:highlight w:val="none"/>
          <w:lang w:val="en-US" w:eastAsia="zh-CN"/>
        </w:rPr>
        <w:t>决策</w:t>
      </w:r>
      <w:r>
        <w:rPr>
          <w:rFonts w:hint="eastAsia" w:ascii="仿宋" w:hAnsi="仿宋" w:eastAsia="仿宋" w:cs="仿宋"/>
          <w:bCs/>
          <w:sz w:val="28"/>
          <w:szCs w:val="28"/>
          <w:highlight w:val="none"/>
        </w:rPr>
        <w:t>、</w:t>
      </w:r>
      <w:r>
        <w:rPr>
          <w:rFonts w:hint="eastAsia" w:ascii="仿宋" w:hAnsi="仿宋" w:eastAsia="仿宋" w:cs="仿宋"/>
          <w:bCs/>
          <w:sz w:val="28"/>
          <w:szCs w:val="28"/>
          <w:highlight w:val="none"/>
          <w:lang w:eastAsia="zh-CN"/>
        </w:rPr>
        <w:t>过程</w:t>
      </w:r>
      <w:r>
        <w:rPr>
          <w:rFonts w:hint="eastAsia" w:ascii="仿宋" w:hAnsi="仿宋" w:eastAsia="仿宋" w:cs="仿宋"/>
          <w:bCs/>
          <w:sz w:val="28"/>
          <w:szCs w:val="28"/>
          <w:highlight w:val="none"/>
        </w:rPr>
        <w:t>类指标</w:t>
      </w:r>
      <w:r>
        <w:rPr>
          <w:rFonts w:hint="eastAsia" w:ascii="仿宋" w:hAnsi="仿宋" w:eastAsia="仿宋" w:cs="仿宋"/>
          <w:bCs/>
          <w:sz w:val="28"/>
          <w:szCs w:val="28"/>
          <w:highlight w:val="none"/>
          <w:lang w:eastAsia="zh-CN"/>
        </w:rPr>
        <w:t>的设置，</w:t>
      </w:r>
      <w:r>
        <w:rPr>
          <w:rFonts w:hint="eastAsia" w:ascii="仿宋" w:hAnsi="仿宋" w:eastAsia="仿宋" w:cs="仿宋"/>
          <w:bCs/>
          <w:sz w:val="28"/>
          <w:szCs w:val="28"/>
          <w:highlight w:val="none"/>
        </w:rPr>
        <w:t>主要是在</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rPr>
        <w:t>项目支出绩效评价管理办法</w:t>
      </w:r>
      <w:r>
        <w:rPr>
          <w:rFonts w:hint="eastAsia" w:ascii="仿宋" w:hAnsi="仿宋" w:eastAsia="仿宋" w:cs="仿宋"/>
          <w:bCs/>
          <w:sz w:val="28"/>
          <w:szCs w:val="28"/>
          <w:highlight w:val="none"/>
          <w:lang w:eastAsia="zh-CN"/>
        </w:rPr>
        <w:t>》（财预〔2020〕10 号）</w:t>
      </w:r>
      <w:r>
        <w:rPr>
          <w:rFonts w:hint="eastAsia" w:ascii="仿宋" w:hAnsi="仿宋" w:eastAsia="仿宋" w:cs="仿宋"/>
          <w:bCs/>
          <w:sz w:val="28"/>
          <w:szCs w:val="28"/>
          <w:highlight w:val="none"/>
          <w:lang w:val="en-US" w:eastAsia="zh-CN"/>
        </w:rPr>
        <w:t>规定</w:t>
      </w:r>
      <w:r>
        <w:rPr>
          <w:rFonts w:hint="eastAsia" w:ascii="仿宋" w:hAnsi="仿宋" w:eastAsia="仿宋" w:cs="仿宋"/>
          <w:bCs/>
          <w:sz w:val="28"/>
          <w:szCs w:val="28"/>
          <w:highlight w:val="none"/>
        </w:rPr>
        <w:t>的基础上，依据</w:t>
      </w:r>
      <w:r>
        <w:rPr>
          <w:rFonts w:hint="eastAsia" w:ascii="仿宋" w:hAnsi="仿宋" w:eastAsia="仿宋" w:cs="仿宋"/>
          <w:bCs/>
          <w:sz w:val="28"/>
          <w:szCs w:val="28"/>
          <w:highlight w:val="none"/>
          <w:lang w:eastAsia="zh-CN"/>
        </w:rPr>
        <w:t>项目资金自</w:t>
      </w:r>
      <w:r>
        <w:rPr>
          <w:rFonts w:hint="eastAsia" w:ascii="仿宋" w:hAnsi="仿宋" w:eastAsia="仿宋" w:cs="仿宋"/>
          <w:bCs/>
          <w:sz w:val="28"/>
          <w:szCs w:val="28"/>
          <w:highlight w:val="none"/>
        </w:rPr>
        <w:t>身的特点对</w:t>
      </w:r>
      <w:r>
        <w:rPr>
          <w:rFonts w:hint="eastAsia" w:ascii="仿宋" w:hAnsi="仿宋" w:eastAsia="仿宋" w:cs="仿宋"/>
          <w:bCs/>
          <w:sz w:val="28"/>
          <w:szCs w:val="28"/>
          <w:highlight w:val="none"/>
          <w:lang w:val="en-US" w:eastAsia="zh-CN"/>
        </w:rPr>
        <w:t>决策</w:t>
      </w:r>
      <w:r>
        <w:rPr>
          <w:rFonts w:hint="eastAsia" w:ascii="仿宋" w:hAnsi="仿宋" w:eastAsia="仿宋" w:cs="仿宋"/>
          <w:bCs/>
          <w:sz w:val="28"/>
          <w:szCs w:val="28"/>
          <w:highlight w:val="none"/>
        </w:rPr>
        <w:t>类</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rPr>
        <w:t>过程类指标的具体评价内容进行了编写</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决策</w:t>
      </w:r>
      <w:r>
        <w:rPr>
          <w:rFonts w:hint="eastAsia" w:ascii="仿宋" w:hAnsi="仿宋" w:eastAsia="仿宋" w:cs="仿宋"/>
          <w:bCs/>
          <w:sz w:val="28"/>
          <w:szCs w:val="28"/>
          <w:highlight w:val="none"/>
        </w:rPr>
        <w:t>类从</w:t>
      </w:r>
      <w:r>
        <w:rPr>
          <w:rFonts w:hint="eastAsia" w:ascii="仿宋" w:hAnsi="仿宋" w:eastAsia="仿宋" w:cs="仿宋"/>
          <w:bCs/>
          <w:sz w:val="28"/>
          <w:szCs w:val="28"/>
          <w:highlight w:val="none"/>
          <w:lang w:val="en-US" w:eastAsia="zh-CN"/>
        </w:rPr>
        <w:t>项目决策</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绩效目标、资金投入三</w:t>
      </w:r>
      <w:r>
        <w:rPr>
          <w:rFonts w:hint="eastAsia" w:ascii="仿宋" w:hAnsi="仿宋" w:eastAsia="仿宋" w:cs="仿宋"/>
          <w:bCs/>
          <w:sz w:val="28"/>
          <w:szCs w:val="28"/>
          <w:highlight w:val="none"/>
        </w:rPr>
        <w:t>方面进行评价，</w:t>
      </w:r>
      <w:r>
        <w:rPr>
          <w:rFonts w:hint="eastAsia" w:ascii="仿宋" w:hAnsi="仿宋" w:eastAsia="仿宋" w:cs="仿宋"/>
          <w:bCs/>
          <w:sz w:val="28"/>
          <w:szCs w:val="28"/>
          <w:highlight w:val="none"/>
          <w:lang w:eastAsia="zh-CN"/>
        </w:rPr>
        <w:t>过程</w:t>
      </w:r>
      <w:r>
        <w:rPr>
          <w:rFonts w:hint="eastAsia" w:ascii="仿宋" w:hAnsi="仿宋" w:eastAsia="仿宋" w:cs="仿宋"/>
          <w:bCs/>
          <w:sz w:val="28"/>
          <w:szCs w:val="28"/>
          <w:highlight w:val="none"/>
        </w:rPr>
        <w:t>类从</w:t>
      </w:r>
      <w:r>
        <w:rPr>
          <w:rFonts w:hint="eastAsia" w:ascii="仿宋" w:hAnsi="仿宋" w:eastAsia="仿宋" w:cs="仿宋"/>
          <w:bCs/>
          <w:sz w:val="28"/>
          <w:szCs w:val="28"/>
          <w:highlight w:val="none"/>
          <w:lang w:val="en-US" w:eastAsia="zh-CN"/>
        </w:rPr>
        <w:t>资金管理、组织实施</w:t>
      </w:r>
      <w:r>
        <w:rPr>
          <w:rFonts w:hint="eastAsia" w:ascii="仿宋" w:hAnsi="仿宋" w:eastAsia="仿宋" w:cs="仿宋"/>
          <w:bCs/>
          <w:sz w:val="28"/>
          <w:szCs w:val="28"/>
          <w:highlight w:val="none"/>
          <w:lang w:eastAsia="zh-CN"/>
        </w:rPr>
        <w:t>两方面</w:t>
      </w:r>
      <w:r>
        <w:rPr>
          <w:rFonts w:hint="eastAsia" w:ascii="仿宋" w:hAnsi="仿宋" w:eastAsia="仿宋" w:cs="仿宋"/>
          <w:bCs/>
          <w:sz w:val="28"/>
          <w:szCs w:val="28"/>
          <w:highlight w:val="none"/>
        </w:rPr>
        <w:t>进行评价</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决策</w:t>
      </w:r>
      <w:r>
        <w:rPr>
          <w:rFonts w:hint="eastAsia" w:ascii="仿宋" w:hAnsi="仿宋" w:eastAsia="仿宋" w:cs="仿宋"/>
          <w:bCs/>
          <w:sz w:val="28"/>
          <w:szCs w:val="28"/>
          <w:highlight w:val="none"/>
        </w:rPr>
        <w:t>类</w:t>
      </w:r>
      <w:r>
        <w:rPr>
          <w:rFonts w:hint="eastAsia" w:ascii="仿宋" w:hAnsi="仿宋" w:eastAsia="仿宋" w:cs="仿宋"/>
          <w:bCs/>
          <w:sz w:val="28"/>
          <w:szCs w:val="28"/>
          <w:highlight w:val="none"/>
          <w:lang w:eastAsia="zh-CN"/>
        </w:rPr>
        <w:t>设置</w:t>
      </w:r>
      <w:r>
        <w:rPr>
          <w:rFonts w:hint="eastAsia" w:ascii="仿宋" w:hAnsi="仿宋" w:eastAsia="仿宋" w:cs="仿宋"/>
          <w:bCs/>
          <w:sz w:val="28"/>
          <w:szCs w:val="28"/>
          <w:highlight w:val="none"/>
          <w:lang w:val="en-US" w:eastAsia="zh-CN"/>
        </w:rPr>
        <w:t>3个二级指标、5个三级指标，</w:t>
      </w:r>
      <w:r>
        <w:rPr>
          <w:rFonts w:hint="eastAsia" w:ascii="仿宋" w:hAnsi="仿宋" w:eastAsia="仿宋" w:cs="仿宋"/>
          <w:bCs/>
          <w:sz w:val="28"/>
          <w:szCs w:val="28"/>
          <w:highlight w:val="none"/>
          <w:lang w:eastAsia="zh-CN"/>
        </w:rPr>
        <w:t>过程</w:t>
      </w:r>
      <w:r>
        <w:rPr>
          <w:rFonts w:hint="eastAsia" w:ascii="仿宋" w:hAnsi="仿宋" w:eastAsia="仿宋" w:cs="仿宋"/>
          <w:bCs/>
          <w:sz w:val="28"/>
          <w:szCs w:val="28"/>
          <w:highlight w:val="none"/>
        </w:rPr>
        <w:t>类设置</w:t>
      </w:r>
      <w:r>
        <w:rPr>
          <w:rFonts w:hint="eastAsia" w:ascii="仿宋" w:hAnsi="仿宋" w:eastAsia="仿宋" w:cs="仿宋"/>
          <w:bCs/>
          <w:sz w:val="28"/>
          <w:szCs w:val="28"/>
          <w:highlight w:val="none"/>
          <w:lang w:val="en-US" w:eastAsia="zh-CN"/>
        </w:rPr>
        <w:t>2</w:t>
      </w:r>
      <w:r>
        <w:rPr>
          <w:rFonts w:hint="eastAsia" w:ascii="仿宋" w:hAnsi="仿宋" w:eastAsia="仿宋" w:cs="仿宋"/>
          <w:bCs/>
          <w:sz w:val="28"/>
          <w:szCs w:val="28"/>
          <w:highlight w:val="none"/>
        </w:rPr>
        <w:t>个二级指标、</w:t>
      </w:r>
      <w:r>
        <w:rPr>
          <w:rFonts w:hint="eastAsia" w:ascii="仿宋" w:hAnsi="仿宋" w:eastAsia="仿宋" w:cs="仿宋"/>
          <w:bCs/>
          <w:sz w:val="28"/>
          <w:szCs w:val="28"/>
          <w:highlight w:val="none"/>
          <w:lang w:val="en-US" w:eastAsia="zh-CN"/>
        </w:rPr>
        <w:t>7</w:t>
      </w:r>
      <w:r>
        <w:rPr>
          <w:rFonts w:hint="eastAsia" w:ascii="仿宋" w:hAnsi="仿宋" w:eastAsia="仿宋" w:cs="仿宋"/>
          <w:bCs/>
          <w:sz w:val="28"/>
          <w:szCs w:val="28"/>
          <w:highlight w:val="none"/>
        </w:rPr>
        <w:t>个三级指标。</w:t>
      </w:r>
    </w:p>
    <w:p>
      <w:pPr>
        <w:spacing w:line="560" w:lineRule="exact"/>
        <w:ind w:firstLine="560" w:firstLineChars="200"/>
        <w:rPr>
          <w:rFonts w:hint="default"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val="en-US" w:eastAsia="zh-CN" w:bidi="ar"/>
        </w:rPr>
        <w:t>（2）</w:t>
      </w:r>
      <w:r>
        <w:rPr>
          <w:rFonts w:hint="default" w:ascii="仿宋" w:hAnsi="仿宋" w:eastAsia="仿宋" w:cs="仿宋"/>
          <w:bCs/>
          <w:sz w:val="28"/>
          <w:szCs w:val="28"/>
          <w:highlight w:val="none"/>
          <w:lang w:val="en-US" w:eastAsia="zh-CN" w:bidi="ar"/>
        </w:rPr>
        <w:t>产出类指标设置</w:t>
      </w:r>
    </w:p>
    <w:p>
      <w:pPr>
        <w:spacing w:line="560" w:lineRule="exact"/>
        <w:ind w:firstLine="560" w:firstLineChars="200"/>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none"/>
          <w:lang w:eastAsia="zh-CN"/>
        </w:rPr>
        <w:t>项目产出包含</w:t>
      </w:r>
      <w:r>
        <w:rPr>
          <w:rFonts w:hint="eastAsia" w:ascii="仿宋" w:hAnsi="仿宋" w:eastAsia="仿宋" w:cs="仿宋"/>
          <w:bCs/>
          <w:sz w:val="28"/>
          <w:szCs w:val="28"/>
          <w:highlight w:val="none"/>
          <w:lang w:val="en-US" w:eastAsia="zh-CN"/>
        </w:rPr>
        <w:t>19个二级指标，34个三级指标，主要从居民健康档案管理、健康教育、预防接种、儿童健康管理、孕产妇女健康管理、老年人健康管理、慢性病健康管理、严重精神障碍患者管理、结核病患者健康管理、中医药健康管理、传染病和突发公共卫生事件报告和处理、卫生计生监督协管、基本避孕服务、健康素养促进行动、地方病防治、职业病防治、重大疾病与健康危害因素监测、国家随机监督抽查、人口监测19个方面进行评价。</w:t>
      </w:r>
    </w:p>
    <w:p>
      <w:pPr>
        <w:spacing w:line="560" w:lineRule="exact"/>
        <w:ind w:firstLine="560" w:firstLineChars="200"/>
        <w:rPr>
          <w:rFonts w:hint="default"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val="en-US" w:eastAsia="zh-CN" w:bidi="ar"/>
        </w:rPr>
        <w:t>（3）</w:t>
      </w:r>
      <w:r>
        <w:rPr>
          <w:rFonts w:hint="default" w:ascii="仿宋" w:hAnsi="仿宋" w:eastAsia="仿宋" w:cs="仿宋"/>
          <w:bCs/>
          <w:sz w:val="28"/>
          <w:szCs w:val="28"/>
          <w:highlight w:val="none"/>
          <w:lang w:val="en-US" w:eastAsia="zh-CN" w:bidi="ar"/>
        </w:rPr>
        <w:t>效益类指标设置</w:t>
      </w:r>
    </w:p>
    <w:p>
      <w:pPr>
        <w:spacing w:line="560" w:lineRule="exact"/>
        <w:ind w:firstLine="560" w:firstLineChars="200"/>
        <w:rPr>
          <w:rFonts w:hint="eastAsia"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val="en-US" w:eastAsia="zh-CN" w:bidi="ar"/>
        </w:rPr>
        <w:t>项目</w:t>
      </w:r>
      <w:r>
        <w:rPr>
          <w:rFonts w:hint="default" w:ascii="仿宋" w:hAnsi="仿宋" w:eastAsia="仿宋" w:cs="仿宋"/>
          <w:bCs/>
          <w:sz w:val="28"/>
          <w:szCs w:val="28"/>
          <w:highlight w:val="none"/>
          <w:lang w:val="en-US" w:eastAsia="zh-CN" w:bidi="ar"/>
        </w:rPr>
        <w:t>效</w:t>
      </w:r>
      <w:r>
        <w:rPr>
          <w:rFonts w:hint="eastAsia" w:ascii="仿宋" w:hAnsi="仿宋" w:eastAsia="仿宋" w:cs="仿宋"/>
          <w:bCs/>
          <w:sz w:val="28"/>
          <w:szCs w:val="28"/>
          <w:highlight w:val="none"/>
          <w:lang w:val="en-US" w:eastAsia="zh-CN" w:bidi="ar"/>
        </w:rPr>
        <w:t>益共设置4个二级指标，10个三级指标，主要从重点人群管理效果、社会效益、可持续影响和满意度四个方面进行评价。</w:t>
      </w:r>
    </w:p>
    <w:p>
      <w:pPr>
        <w:spacing w:line="560" w:lineRule="exact"/>
        <w:ind w:firstLine="560" w:firstLineChars="200"/>
        <w:rPr>
          <w:rFonts w:hint="default"/>
          <w:highlight w:val="none"/>
          <w:lang w:val="en-US" w:eastAsia="zh-CN"/>
        </w:rPr>
      </w:pPr>
      <w:r>
        <w:rPr>
          <w:rFonts w:hint="default" w:ascii="仿宋" w:hAnsi="仿宋" w:eastAsia="仿宋" w:cs="仿宋"/>
          <w:bCs/>
          <w:sz w:val="28"/>
          <w:szCs w:val="28"/>
          <w:highlight w:val="none"/>
          <w:lang w:val="en-US" w:eastAsia="zh-CN" w:bidi="ar"/>
        </w:rPr>
        <w:t>具体评价指标设置、权重、指标解释、评分依据、评分标准见附件1。</w:t>
      </w:r>
    </w:p>
    <w:p>
      <w:pPr>
        <w:spacing w:line="560" w:lineRule="exact"/>
        <w:ind w:firstLine="562" w:firstLineChars="200"/>
        <w:rPr>
          <w:rFonts w:hint="default" w:ascii="仿宋" w:hAnsi="仿宋" w:eastAsia="仿宋" w:cs="仿宋"/>
          <w:bCs/>
          <w:sz w:val="28"/>
          <w:szCs w:val="28"/>
          <w:highlight w:val="none"/>
          <w:lang w:val="en-US" w:eastAsia="zh-CN" w:bidi="ar"/>
        </w:rPr>
      </w:pPr>
      <w:bookmarkStart w:id="94" w:name="_Toc1257_WPSOffice_Level2"/>
      <w:r>
        <w:rPr>
          <w:rFonts w:hint="eastAsia" w:ascii="仿宋" w:hAnsi="仿宋" w:eastAsia="仿宋" w:cs="仿宋"/>
          <w:b/>
          <w:bCs w:val="0"/>
          <w:sz w:val="28"/>
          <w:szCs w:val="28"/>
          <w:highlight w:val="none"/>
          <w:lang w:val="en-US" w:eastAsia="zh-CN" w:bidi="ar"/>
        </w:rPr>
        <w:t>3.项目</w:t>
      </w:r>
      <w:r>
        <w:rPr>
          <w:rFonts w:hint="default" w:ascii="仿宋" w:hAnsi="仿宋" w:eastAsia="仿宋" w:cs="仿宋"/>
          <w:b/>
          <w:bCs w:val="0"/>
          <w:sz w:val="28"/>
          <w:szCs w:val="28"/>
          <w:highlight w:val="none"/>
          <w:lang w:val="en-US" w:eastAsia="zh-CN" w:bidi="ar"/>
        </w:rPr>
        <w:t>分值评级</w:t>
      </w:r>
      <w:bookmarkEnd w:id="94"/>
    </w:p>
    <w:p>
      <w:pPr>
        <w:pStyle w:val="1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578" w:lineRule="atLeast"/>
        <w:ind w:right="0" w:rightChars="0" w:firstLine="560" w:firstLineChars="200"/>
        <w:jc w:val="both"/>
        <w:rPr>
          <w:rFonts w:hint="eastAsia" w:ascii="仿宋" w:hAnsi="仿宋" w:eastAsia="仿宋" w:cs="仿宋"/>
          <w:b w:val="0"/>
          <w:bCs/>
          <w:color w:val="000000"/>
          <w:sz w:val="28"/>
          <w:szCs w:val="28"/>
          <w:highlight w:val="none"/>
          <w:lang w:val="en-US" w:eastAsia="zh-CN"/>
        </w:rPr>
      </w:pPr>
      <w:r>
        <w:rPr>
          <w:rFonts w:hint="eastAsia" w:ascii="仿宋" w:hAnsi="仿宋" w:eastAsia="仿宋" w:cs="仿宋"/>
          <w:b w:val="0"/>
          <w:bCs/>
          <w:color w:val="000000"/>
          <w:sz w:val="28"/>
          <w:szCs w:val="28"/>
          <w:highlight w:val="none"/>
          <w:lang w:val="en-US" w:eastAsia="zh-CN"/>
        </w:rPr>
        <w:t>项目评价结果分为优、良、中、差四个档次，根据评价分值，确定评价对象对应的档次。具体分值与档次见下表：</w:t>
      </w:r>
    </w:p>
    <w:p>
      <w:pPr>
        <w:spacing w:line="560" w:lineRule="exact"/>
        <w:ind w:firstLine="560" w:firstLineChars="200"/>
        <w:jc w:val="center"/>
        <w:rPr>
          <w:rFonts w:hint="default" w:ascii="仿宋" w:hAnsi="仿宋" w:eastAsia="仿宋" w:cs="仿宋"/>
          <w:b w:val="0"/>
          <w:bCs w:val="0"/>
          <w:kern w:val="2"/>
          <w:sz w:val="28"/>
          <w:szCs w:val="28"/>
          <w:highlight w:val="none"/>
          <w:lang w:val="en-US" w:eastAsia="zh-CN" w:bidi="ar-SA"/>
        </w:rPr>
      </w:pPr>
      <w:bookmarkStart w:id="95" w:name="_Toc30421_WPSOffice_Level2"/>
      <w:r>
        <w:rPr>
          <w:rFonts w:hint="eastAsia" w:ascii="仿宋" w:hAnsi="仿宋" w:eastAsia="仿宋" w:cs="仿宋"/>
          <w:b w:val="0"/>
          <w:bCs w:val="0"/>
          <w:kern w:val="2"/>
          <w:sz w:val="28"/>
          <w:szCs w:val="28"/>
          <w:highlight w:val="none"/>
          <w:lang w:val="en-US" w:eastAsia="zh-CN" w:bidi="ar-SA"/>
        </w:rPr>
        <w:t xml:space="preserve">表2-2：  </w:t>
      </w:r>
      <w:r>
        <w:rPr>
          <w:rFonts w:hint="default" w:ascii="仿宋" w:hAnsi="仿宋" w:eastAsia="仿宋" w:cs="仿宋"/>
          <w:b w:val="0"/>
          <w:bCs w:val="0"/>
          <w:kern w:val="2"/>
          <w:sz w:val="28"/>
          <w:szCs w:val="28"/>
          <w:highlight w:val="none"/>
          <w:lang w:val="en-US" w:eastAsia="zh-CN" w:bidi="ar-SA"/>
        </w:rPr>
        <w:t>评价分值与评价等级表</w:t>
      </w:r>
      <w:bookmarkEnd w:id="95"/>
    </w:p>
    <w:tbl>
      <w:tblPr>
        <w:tblStyle w:val="14"/>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4"/>
        <w:gridCol w:w="1703"/>
        <w:gridCol w:w="1704"/>
        <w:gridCol w:w="1704"/>
        <w:gridCol w:w="17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7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仿宋"/>
                <w:color w:val="000000"/>
                <w:kern w:val="0"/>
                <w:sz w:val="24"/>
                <w:szCs w:val="24"/>
                <w:highlight w:val="none"/>
              </w:rPr>
            </w:pPr>
            <w:r>
              <w:rPr>
                <w:rFonts w:hint="default" w:ascii="仿宋" w:hAnsi="仿宋" w:eastAsia="仿宋" w:cs="仿宋"/>
                <w:color w:val="000000"/>
                <w:kern w:val="0"/>
                <w:sz w:val="24"/>
                <w:szCs w:val="24"/>
                <w:highlight w:val="none"/>
              </w:rPr>
              <w:t>等级</w:t>
            </w:r>
          </w:p>
        </w:tc>
        <w:tc>
          <w:tcPr>
            <w:tcW w:w="1703" w:type="dxa"/>
            <w:tcBorders>
              <w:top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仿宋"/>
                <w:color w:val="000000"/>
                <w:kern w:val="0"/>
                <w:sz w:val="24"/>
                <w:szCs w:val="24"/>
                <w:highlight w:val="none"/>
              </w:rPr>
            </w:pPr>
            <w:r>
              <w:rPr>
                <w:rFonts w:hint="default" w:ascii="仿宋" w:hAnsi="仿宋" w:eastAsia="仿宋" w:cs="仿宋"/>
                <w:color w:val="000000"/>
                <w:kern w:val="0"/>
                <w:sz w:val="24"/>
                <w:szCs w:val="24"/>
                <w:highlight w:val="none"/>
              </w:rPr>
              <w:t>优</w:t>
            </w:r>
          </w:p>
        </w:tc>
        <w:tc>
          <w:tcPr>
            <w:tcW w:w="1704" w:type="dxa"/>
            <w:tcBorders>
              <w:top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仿宋"/>
                <w:color w:val="000000"/>
                <w:kern w:val="0"/>
                <w:sz w:val="24"/>
                <w:szCs w:val="24"/>
                <w:highlight w:val="none"/>
              </w:rPr>
            </w:pPr>
            <w:r>
              <w:rPr>
                <w:rFonts w:hint="default" w:ascii="仿宋" w:hAnsi="仿宋" w:eastAsia="仿宋" w:cs="仿宋"/>
                <w:color w:val="000000"/>
                <w:kern w:val="0"/>
                <w:sz w:val="24"/>
                <w:szCs w:val="24"/>
                <w:highlight w:val="none"/>
              </w:rPr>
              <w:t>良</w:t>
            </w:r>
          </w:p>
        </w:tc>
        <w:tc>
          <w:tcPr>
            <w:tcW w:w="1704" w:type="dxa"/>
            <w:tcBorders>
              <w:top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lang w:eastAsia="zh-CN"/>
              </w:rPr>
              <w:t>中</w:t>
            </w:r>
          </w:p>
        </w:tc>
        <w:tc>
          <w:tcPr>
            <w:tcW w:w="1707" w:type="dxa"/>
            <w:tcBorders>
              <w:top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lang w:eastAsia="zh-CN"/>
              </w:rPr>
              <w:t>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仿宋"/>
                <w:color w:val="000000"/>
                <w:kern w:val="0"/>
                <w:sz w:val="24"/>
                <w:szCs w:val="24"/>
                <w:highlight w:val="none"/>
              </w:rPr>
            </w:pPr>
            <w:r>
              <w:rPr>
                <w:rFonts w:hint="default" w:ascii="仿宋" w:hAnsi="仿宋" w:eastAsia="仿宋" w:cs="仿宋"/>
                <w:color w:val="000000"/>
                <w:kern w:val="0"/>
                <w:sz w:val="24"/>
                <w:szCs w:val="24"/>
                <w:highlight w:val="none"/>
              </w:rPr>
              <w:t>分值</w:t>
            </w:r>
          </w:p>
        </w:tc>
        <w:tc>
          <w:tcPr>
            <w:tcW w:w="1703"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highlight w:val="none"/>
              </w:rPr>
            </w:pPr>
            <w:r>
              <w:rPr>
                <w:rFonts w:hint="eastAsia" w:ascii="仿宋" w:hAnsi="仿宋" w:eastAsia="仿宋" w:cs="仿宋"/>
                <w:i w:val="0"/>
                <w:color w:val="000000"/>
                <w:kern w:val="0"/>
                <w:sz w:val="24"/>
                <w:szCs w:val="24"/>
                <w:u w:val="none"/>
                <w:lang w:val="en-US" w:eastAsia="zh-CN" w:bidi="ar"/>
              </w:rPr>
              <w:t xml:space="preserve"> 90≤分值</w:t>
            </w:r>
          </w:p>
        </w:tc>
        <w:tc>
          <w:tcPr>
            <w:tcW w:w="1704"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highlight w:val="none"/>
              </w:rPr>
            </w:pPr>
            <w:r>
              <w:rPr>
                <w:rFonts w:hint="eastAsia" w:ascii="仿宋" w:hAnsi="仿宋" w:eastAsia="仿宋" w:cs="仿宋"/>
                <w:i w:val="0"/>
                <w:color w:val="000000"/>
                <w:kern w:val="0"/>
                <w:sz w:val="24"/>
                <w:szCs w:val="24"/>
                <w:u w:val="none"/>
                <w:lang w:val="en-US" w:eastAsia="zh-CN" w:bidi="ar"/>
              </w:rPr>
              <w:t xml:space="preserve">80≤分值＜90 </w:t>
            </w:r>
          </w:p>
        </w:tc>
        <w:tc>
          <w:tcPr>
            <w:tcW w:w="1704"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highlight w:val="none"/>
              </w:rPr>
            </w:pPr>
            <w:r>
              <w:rPr>
                <w:rFonts w:hint="eastAsia" w:ascii="仿宋" w:hAnsi="仿宋" w:eastAsia="仿宋" w:cs="仿宋"/>
                <w:i w:val="0"/>
                <w:color w:val="000000"/>
                <w:kern w:val="0"/>
                <w:sz w:val="24"/>
                <w:szCs w:val="24"/>
                <w:u w:val="none"/>
                <w:lang w:val="en-US" w:eastAsia="zh-CN" w:bidi="ar"/>
              </w:rPr>
              <w:t>60≤分值＜80</w:t>
            </w:r>
          </w:p>
        </w:tc>
        <w:tc>
          <w:tcPr>
            <w:tcW w:w="1707"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highlight w:val="none"/>
              </w:rPr>
            </w:pPr>
            <w:r>
              <w:rPr>
                <w:rFonts w:hint="eastAsia" w:ascii="仿宋" w:hAnsi="仿宋" w:eastAsia="仿宋" w:cs="仿宋"/>
                <w:i w:val="0"/>
                <w:color w:val="000000"/>
                <w:kern w:val="0"/>
                <w:sz w:val="24"/>
                <w:szCs w:val="24"/>
                <w:u w:val="none"/>
                <w:lang w:val="en-US" w:eastAsia="zh-CN" w:bidi="ar"/>
              </w:rPr>
              <w:t xml:space="preserve">60＜分值 </w:t>
            </w:r>
          </w:p>
        </w:tc>
      </w:tr>
      <w:bookmarkEnd w:id="91"/>
      <w:bookmarkEnd w:id="92"/>
      <w:bookmarkEnd w:id="93"/>
    </w:tbl>
    <w:p>
      <w:pPr>
        <w:pStyle w:val="31"/>
        <w:spacing w:line="560" w:lineRule="exact"/>
        <w:ind w:firstLine="562"/>
        <w:outlineLvl w:val="0"/>
        <w:rPr>
          <w:rFonts w:hint="default" w:ascii="仿宋" w:hAnsi="仿宋" w:eastAsia="仿宋"/>
          <w:b/>
          <w:lang w:val="en-US"/>
        </w:rPr>
      </w:pPr>
      <w:bookmarkStart w:id="96" w:name="_Toc29054_WPSOffice_Level1"/>
      <w:bookmarkStart w:id="97" w:name="_Toc14409"/>
      <w:bookmarkStart w:id="98" w:name="_Toc19816_WPSOffice_Level1"/>
      <w:bookmarkStart w:id="99" w:name="_Toc17147_WPSOffice_Level1"/>
      <w:bookmarkStart w:id="100" w:name="_Toc19468_WPSOffice_Level1"/>
      <w:bookmarkStart w:id="101" w:name="_Toc14295_WPSOffice_Level1"/>
      <w:bookmarkStart w:id="102" w:name="_Toc23522_WPSOffice_Level1"/>
      <w:bookmarkStart w:id="103" w:name="_Toc10483_WPSOffice_Level1"/>
      <w:bookmarkStart w:id="104" w:name="_Toc9002"/>
      <w:bookmarkStart w:id="105" w:name="_Toc16838_WPSOffice_Level1"/>
      <w:bookmarkStart w:id="106" w:name="_Toc27594_WPSOffice_Level1"/>
      <w:bookmarkStart w:id="107" w:name="_Toc30512_WPSOffice_Level1"/>
      <w:bookmarkStart w:id="108" w:name="_Toc20879_WPSOffice_Level1"/>
      <w:r>
        <w:rPr>
          <w:rFonts w:hint="eastAsia" w:ascii="仿宋" w:hAnsi="仿宋" w:eastAsia="仿宋"/>
          <w:b/>
          <w:lang w:val="en-US" w:eastAsia="zh-CN"/>
        </w:rPr>
        <w:t>三</w:t>
      </w:r>
      <w:r>
        <w:rPr>
          <w:rFonts w:hint="eastAsia" w:ascii="仿宋" w:hAnsi="仿宋" w:eastAsia="仿宋"/>
          <w:b/>
        </w:rPr>
        <w:t>、</w:t>
      </w:r>
      <w:r>
        <w:rPr>
          <w:rFonts w:hint="eastAsia" w:ascii="仿宋" w:hAnsi="仿宋" w:eastAsia="仿宋"/>
          <w:b/>
          <w:lang w:eastAsia="zh-CN"/>
        </w:rPr>
        <w:t>综合评价情况</w:t>
      </w:r>
      <w:bookmarkEnd w:id="96"/>
      <w:bookmarkEnd w:id="97"/>
      <w:bookmarkEnd w:id="98"/>
      <w:bookmarkEnd w:id="99"/>
      <w:bookmarkEnd w:id="100"/>
      <w:bookmarkEnd w:id="101"/>
      <w:bookmarkEnd w:id="102"/>
      <w:bookmarkEnd w:id="103"/>
      <w:r>
        <w:rPr>
          <w:rFonts w:hint="eastAsia" w:ascii="仿宋" w:hAnsi="仿宋" w:eastAsia="仿宋"/>
          <w:b/>
          <w:lang w:val="en-US" w:eastAsia="zh-CN"/>
        </w:rPr>
        <w:t>及评价结论</w:t>
      </w:r>
    </w:p>
    <w:p>
      <w:pPr>
        <w:pStyle w:val="31"/>
        <w:spacing w:line="560" w:lineRule="exact"/>
        <w:ind w:firstLine="560"/>
        <w:rPr>
          <w:rFonts w:hint="default" w:ascii="仿宋" w:hAnsi="仿宋" w:eastAsia="仿宋"/>
          <w:b/>
          <w:bCs/>
          <w:lang w:val="en-US" w:eastAsia="zh-CN"/>
        </w:rPr>
      </w:pPr>
      <w:r>
        <w:rPr>
          <w:rFonts w:hint="eastAsia" w:ascii="仿宋" w:hAnsi="仿宋" w:eastAsia="仿宋"/>
          <w:b/>
          <w:bCs/>
          <w:lang w:eastAsia="zh-CN"/>
        </w:rPr>
        <w:t>（</w:t>
      </w:r>
      <w:r>
        <w:rPr>
          <w:rFonts w:hint="eastAsia" w:ascii="仿宋" w:hAnsi="仿宋" w:eastAsia="仿宋"/>
          <w:b/>
          <w:bCs/>
          <w:lang w:val="en-US" w:eastAsia="zh-CN"/>
        </w:rPr>
        <w:t>一）总体评分情况</w:t>
      </w:r>
    </w:p>
    <w:p>
      <w:pPr>
        <w:pStyle w:val="31"/>
        <w:spacing w:line="560" w:lineRule="exact"/>
        <w:ind w:firstLine="560"/>
        <w:rPr>
          <w:rFonts w:ascii="仿宋" w:hAnsi="仿宋" w:eastAsia="仿宋"/>
        </w:rPr>
      </w:pPr>
      <w:r>
        <w:rPr>
          <w:rFonts w:hint="eastAsia" w:ascii="仿宋" w:hAnsi="仿宋" w:eastAsia="仿宋"/>
        </w:rPr>
        <w:t>绩效评价项目组通过实施数据采集、现场核查、问卷调查、重点访谈、汇总分析等程序，依据相关文件和经审定的评价指标体系及评分标准，对</w:t>
      </w:r>
      <w:r>
        <w:rPr>
          <w:rFonts w:hint="eastAsia" w:ascii="仿宋" w:hAnsi="仿宋" w:eastAsia="仿宋"/>
          <w:lang w:val="en-US" w:eastAsia="zh-CN"/>
        </w:rPr>
        <w:t>临猗县基本公共卫生项目</w:t>
      </w:r>
      <w:r>
        <w:rPr>
          <w:rFonts w:hint="eastAsia" w:ascii="仿宋" w:hAnsi="仿宋" w:eastAsia="仿宋"/>
        </w:rPr>
        <w:t>绩效进行客观评价，最终结果为：总得</w:t>
      </w:r>
      <w:r>
        <w:rPr>
          <w:rFonts w:hint="eastAsia" w:ascii="仿宋" w:hAnsi="仿宋" w:eastAsia="仿宋"/>
          <w:highlight w:val="none"/>
        </w:rPr>
        <w:t>分为</w:t>
      </w:r>
      <w:r>
        <w:rPr>
          <w:rFonts w:hint="eastAsia" w:ascii="仿宋" w:hAnsi="仿宋" w:eastAsia="仿宋"/>
          <w:highlight w:val="none"/>
          <w:lang w:val="en-US" w:eastAsia="zh-CN"/>
        </w:rPr>
        <w:t>71.731</w:t>
      </w:r>
      <w:r>
        <w:rPr>
          <w:rFonts w:hint="eastAsia" w:ascii="仿宋" w:hAnsi="仿宋" w:eastAsia="仿宋"/>
          <w:highlight w:val="none"/>
        </w:rPr>
        <w:t>分，绩效评级为“</w:t>
      </w:r>
      <w:r>
        <w:rPr>
          <w:rFonts w:hint="eastAsia" w:ascii="仿宋" w:hAnsi="仿宋" w:eastAsia="仿宋"/>
          <w:highlight w:val="none"/>
          <w:lang w:eastAsia="zh-CN"/>
        </w:rPr>
        <w:t>中</w:t>
      </w:r>
      <w:r>
        <w:rPr>
          <w:rFonts w:hint="eastAsia" w:ascii="仿宋" w:hAnsi="仿宋" w:eastAsia="仿宋"/>
          <w:highlight w:val="none"/>
        </w:rPr>
        <w:t>”，各指标详</w:t>
      </w:r>
      <w:r>
        <w:rPr>
          <w:rFonts w:hint="eastAsia" w:ascii="仿宋" w:hAnsi="仿宋" w:eastAsia="仿宋"/>
        </w:rPr>
        <w:t>细</w:t>
      </w:r>
      <w:r>
        <w:rPr>
          <w:rFonts w:hint="eastAsia" w:ascii="仿宋" w:hAnsi="仿宋" w:eastAsia="仿宋"/>
          <w:lang w:val="en-US" w:eastAsia="zh-CN"/>
        </w:rPr>
        <w:t>得</w:t>
      </w:r>
      <w:r>
        <w:rPr>
          <w:rFonts w:hint="eastAsia" w:ascii="仿宋" w:hAnsi="仿宋" w:eastAsia="仿宋"/>
        </w:rPr>
        <w:t>分情况见附件1。具体得分情况见下表：</w:t>
      </w:r>
    </w:p>
    <w:p>
      <w:pPr>
        <w:pStyle w:val="32"/>
        <w:framePr w:wrap="auto" w:vAnchor="margin" w:hAnchor="text" w:yAlign="inline"/>
        <w:adjustRightInd w:val="0"/>
        <w:snapToGrid w:val="0"/>
        <w:spacing w:line="560" w:lineRule="exact"/>
        <w:ind w:firstLine="0"/>
        <w:jc w:val="center"/>
        <w:rPr>
          <w:rFonts w:ascii="仿宋" w:hAnsi="仿宋" w:eastAsia="仿宋" w:cs="楷体_GB2312"/>
          <w:b/>
          <w:bCs/>
          <w:color w:val="auto"/>
          <w:szCs w:val="24"/>
          <w:lang w:val="zh-TW"/>
        </w:rPr>
      </w:pPr>
      <w:bookmarkStart w:id="109" w:name="_Toc8893_WPSOffice_Level2"/>
      <w:bookmarkStart w:id="110" w:name="_Toc19598_WPSOffice_Level2"/>
      <w:bookmarkStart w:id="111" w:name="_Toc9954_WPSOffice_Level2"/>
      <w:bookmarkStart w:id="112" w:name="_Toc30903_WPSOffice_Level2"/>
      <w:bookmarkStart w:id="113" w:name="_Toc17956_WPSOffice_Level2"/>
      <w:bookmarkStart w:id="114" w:name="_Toc15796_WPSOffice_Level2"/>
      <w:bookmarkStart w:id="115" w:name="_Toc31966_WPSOffice_Level2"/>
      <w:bookmarkStart w:id="116" w:name="_Toc7889_WPSOffice_Level2"/>
      <w:bookmarkStart w:id="117" w:name="_Toc6413_WPSOffice_Level2"/>
      <w:bookmarkStart w:id="118" w:name="_Toc5892_WPSOffice_Level2"/>
      <w:r>
        <w:rPr>
          <w:rFonts w:hint="eastAsia" w:ascii="仿宋" w:hAnsi="仿宋" w:eastAsia="仿宋" w:cs="楷体_GB2312"/>
          <w:b/>
          <w:bCs/>
          <w:color w:val="auto"/>
          <w:szCs w:val="24"/>
          <w:lang w:val="zh-TW"/>
        </w:rPr>
        <w:t>表</w:t>
      </w:r>
      <w:r>
        <w:rPr>
          <w:rFonts w:hint="eastAsia" w:ascii="仿宋" w:hAnsi="仿宋" w:eastAsia="仿宋" w:cs="楷体_GB2312"/>
          <w:b/>
          <w:bCs/>
          <w:color w:val="auto"/>
          <w:szCs w:val="24"/>
          <w:lang w:val="en-US" w:eastAsia="zh-CN"/>
        </w:rPr>
        <w:t>3-1：</w:t>
      </w:r>
      <w:r>
        <w:rPr>
          <w:rFonts w:hint="eastAsia" w:ascii="仿宋" w:hAnsi="仿宋" w:eastAsia="仿宋" w:cs="楷体_GB2312"/>
          <w:b/>
          <w:bCs/>
          <w:color w:val="auto"/>
          <w:szCs w:val="24"/>
          <w:lang w:val="zh-TW"/>
        </w:rPr>
        <w:t xml:space="preserve"> </w:t>
      </w:r>
      <w:r>
        <w:rPr>
          <w:rFonts w:hint="eastAsia" w:ascii="仿宋" w:hAnsi="仿宋" w:eastAsia="仿宋" w:cs="楷体_GB2312"/>
          <w:b/>
          <w:bCs/>
          <w:color w:val="auto"/>
          <w:szCs w:val="24"/>
          <w:lang w:val="zh-TW" w:eastAsia="zh-TW"/>
        </w:rPr>
        <w:t>项目绩效评价得分表</w:t>
      </w:r>
      <w:bookmarkEnd w:id="109"/>
      <w:bookmarkEnd w:id="110"/>
      <w:bookmarkEnd w:id="111"/>
      <w:bookmarkEnd w:id="112"/>
      <w:bookmarkEnd w:id="113"/>
      <w:bookmarkEnd w:id="114"/>
      <w:bookmarkEnd w:id="115"/>
      <w:bookmarkEnd w:id="116"/>
      <w:bookmarkEnd w:id="117"/>
      <w:bookmarkEnd w:id="118"/>
    </w:p>
    <w:tbl>
      <w:tblPr>
        <w:tblStyle w:val="14"/>
        <w:tblW w:w="79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4"/>
        <w:gridCol w:w="1379"/>
        <w:gridCol w:w="1218"/>
        <w:gridCol w:w="1218"/>
        <w:gridCol w:w="1218"/>
        <w:gridCol w:w="1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1524" w:type="dxa"/>
            <w:shd w:val="clear" w:color="auto" w:fill="B3B3B3"/>
            <w:vAlign w:val="center"/>
          </w:tcPr>
          <w:p>
            <w:pPr>
              <w:widowControl/>
              <w:snapToGrid w:val="0"/>
              <w:spacing w:line="0" w:lineRule="atLeast"/>
              <w:jc w:val="center"/>
              <w:rPr>
                <w:rFonts w:ascii="仿宋" w:hAnsi="仿宋" w:eastAsia="仿宋" w:cs="仿宋"/>
                <w:sz w:val="24"/>
              </w:rPr>
            </w:pPr>
            <w:r>
              <w:rPr>
                <w:rFonts w:hint="eastAsia" w:ascii="仿宋" w:hAnsi="仿宋" w:eastAsia="仿宋" w:cs="仿宋"/>
                <w:b/>
                <w:bCs/>
                <w:kern w:val="0"/>
                <w:sz w:val="24"/>
                <w:lang w:val="zh-TW" w:eastAsia="zh-TW"/>
              </w:rPr>
              <w:t>指标</w:t>
            </w:r>
          </w:p>
        </w:tc>
        <w:tc>
          <w:tcPr>
            <w:tcW w:w="1379" w:type="dxa"/>
            <w:shd w:val="clear" w:color="auto" w:fill="B3B3B3"/>
            <w:vAlign w:val="center"/>
          </w:tcPr>
          <w:p>
            <w:pPr>
              <w:widowControl/>
              <w:snapToGrid w:val="0"/>
              <w:spacing w:line="0" w:lineRule="atLeast"/>
              <w:jc w:val="center"/>
              <w:rPr>
                <w:rFonts w:hint="default" w:ascii="仿宋" w:hAnsi="仿宋" w:eastAsia="仿宋" w:cs="仿宋"/>
                <w:b/>
                <w:bCs/>
                <w:kern w:val="0"/>
                <w:sz w:val="24"/>
                <w:lang w:val="en-US" w:eastAsia="zh-CN"/>
              </w:rPr>
            </w:pPr>
            <w:r>
              <w:rPr>
                <w:rFonts w:hint="eastAsia" w:ascii="仿宋" w:hAnsi="仿宋" w:eastAsia="仿宋" w:cs="仿宋"/>
                <w:b/>
                <w:bCs/>
                <w:kern w:val="0"/>
                <w:sz w:val="24"/>
                <w:lang w:val="en-US" w:eastAsia="zh-CN"/>
              </w:rPr>
              <w:t>决策</w:t>
            </w:r>
          </w:p>
        </w:tc>
        <w:tc>
          <w:tcPr>
            <w:tcW w:w="1218" w:type="dxa"/>
            <w:shd w:val="clear" w:color="auto" w:fill="B3B3B3"/>
            <w:vAlign w:val="center"/>
          </w:tcPr>
          <w:p>
            <w:pPr>
              <w:widowControl/>
              <w:snapToGrid w:val="0"/>
              <w:spacing w:line="0" w:lineRule="atLeast"/>
              <w:jc w:val="center"/>
              <w:rPr>
                <w:rFonts w:ascii="仿宋" w:hAnsi="仿宋" w:eastAsia="仿宋" w:cs="仿宋"/>
                <w:b/>
                <w:bCs/>
                <w:kern w:val="0"/>
                <w:sz w:val="24"/>
                <w:lang w:val="zh-TW"/>
              </w:rPr>
            </w:pPr>
            <w:r>
              <w:rPr>
                <w:rFonts w:hint="eastAsia" w:ascii="仿宋" w:hAnsi="仿宋" w:eastAsia="仿宋" w:cs="仿宋"/>
                <w:b/>
                <w:bCs/>
                <w:kern w:val="0"/>
                <w:sz w:val="24"/>
                <w:lang w:val="zh-TW"/>
              </w:rPr>
              <w:t>过程</w:t>
            </w:r>
          </w:p>
        </w:tc>
        <w:tc>
          <w:tcPr>
            <w:tcW w:w="1218" w:type="dxa"/>
            <w:shd w:val="clear" w:color="auto" w:fill="B3B3B3"/>
            <w:vAlign w:val="center"/>
          </w:tcPr>
          <w:p>
            <w:pPr>
              <w:widowControl/>
              <w:snapToGrid w:val="0"/>
              <w:spacing w:line="0" w:lineRule="atLeast"/>
              <w:jc w:val="center"/>
              <w:rPr>
                <w:rFonts w:ascii="仿宋" w:hAnsi="仿宋" w:eastAsia="仿宋" w:cs="仿宋"/>
                <w:b/>
                <w:bCs/>
                <w:kern w:val="0"/>
                <w:sz w:val="24"/>
                <w:lang w:val="zh-TW"/>
              </w:rPr>
            </w:pPr>
            <w:r>
              <w:rPr>
                <w:rFonts w:hint="eastAsia" w:ascii="仿宋" w:hAnsi="仿宋" w:eastAsia="仿宋" w:cs="仿宋"/>
                <w:b/>
                <w:bCs/>
                <w:kern w:val="0"/>
                <w:sz w:val="24"/>
                <w:lang w:val="zh-TW"/>
              </w:rPr>
              <w:t>产出</w:t>
            </w:r>
          </w:p>
        </w:tc>
        <w:tc>
          <w:tcPr>
            <w:tcW w:w="1218" w:type="dxa"/>
            <w:shd w:val="clear" w:color="auto" w:fill="B3B3B3"/>
            <w:vAlign w:val="center"/>
          </w:tcPr>
          <w:p>
            <w:pPr>
              <w:widowControl/>
              <w:snapToGrid w:val="0"/>
              <w:spacing w:line="0" w:lineRule="atLeast"/>
              <w:jc w:val="center"/>
              <w:rPr>
                <w:rFonts w:ascii="仿宋" w:hAnsi="仿宋" w:eastAsia="仿宋" w:cs="仿宋"/>
                <w:b/>
                <w:bCs/>
                <w:kern w:val="0"/>
                <w:sz w:val="24"/>
                <w:lang w:val="zh-TW"/>
              </w:rPr>
            </w:pPr>
            <w:r>
              <w:rPr>
                <w:rFonts w:hint="eastAsia" w:ascii="仿宋" w:hAnsi="仿宋" w:eastAsia="仿宋" w:cs="仿宋"/>
                <w:b/>
                <w:bCs/>
                <w:kern w:val="0"/>
                <w:sz w:val="24"/>
                <w:lang w:val="zh-TW"/>
              </w:rPr>
              <w:t>效益</w:t>
            </w:r>
          </w:p>
        </w:tc>
        <w:tc>
          <w:tcPr>
            <w:tcW w:w="1394" w:type="dxa"/>
            <w:shd w:val="clear" w:color="auto" w:fill="B3B3B3"/>
            <w:vAlign w:val="center"/>
          </w:tcPr>
          <w:p>
            <w:pPr>
              <w:widowControl/>
              <w:snapToGrid w:val="0"/>
              <w:spacing w:line="0" w:lineRule="atLeast"/>
              <w:jc w:val="center"/>
              <w:rPr>
                <w:rFonts w:ascii="仿宋" w:hAnsi="仿宋" w:eastAsia="仿宋" w:cs="仿宋"/>
                <w:b/>
                <w:bCs/>
                <w:kern w:val="0"/>
                <w:sz w:val="24"/>
                <w:lang w:val="zh-TW" w:eastAsia="zh-TW"/>
              </w:rPr>
            </w:pPr>
            <w:r>
              <w:rPr>
                <w:rFonts w:hint="eastAsia" w:ascii="仿宋" w:hAnsi="仿宋" w:eastAsia="仿宋" w:cs="仿宋"/>
                <w:b/>
                <w:bCs/>
                <w:kern w:val="0"/>
                <w:sz w:val="24"/>
                <w:lang w:val="zh-TW" w:eastAsia="zh-TW"/>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24" w:type="dxa"/>
            <w:vAlign w:val="center"/>
          </w:tcPr>
          <w:p>
            <w:pPr>
              <w:widowControl/>
              <w:snapToGrid w:val="0"/>
              <w:spacing w:line="0" w:lineRule="atLeast"/>
              <w:jc w:val="center"/>
              <w:rPr>
                <w:rFonts w:ascii="仿宋" w:hAnsi="仿宋" w:eastAsia="仿宋" w:cs="仿宋"/>
                <w:sz w:val="24"/>
              </w:rPr>
            </w:pPr>
            <w:r>
              <w:rPr>
                <w:rFonts w:hint="eastAsia" w:ascii="仿宋" w:hAnsi="仿宋" w:eastAsia="仿宋" w:cs="仿宋"/>
                <w:b/>
                <w:bCs/>
                <w:kern w:val="0"/>
                <w:sz w:val="24"/>
                <w:lang w:val="zh-TW" w:eastAsia="zh-TW"/>
              </w:rPr>
              <w:t>权重</w:t>
            </w:r>
          </w:p>
        </w:tc>
        <w:tc>
          <w:tcPr>
            <w:tcW w:w="1379"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8.00</w:t>
            </w:r>
          </w:p>
        </w:tc>
        <w:tc>
          <w:tcPr>
            <w:tcW w:w="1218"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24.00</w:t>
            </w:r>
          </w:p>
        </w:tc>
        <w:tc>
          <w:tcPr>
            <w:tcW w:w="1218"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40.00</w:t>
            </w:r>
          </w:p>
        </w:tc>
        <w:tc>
          <w:tcPr>
            <w:tcW w:w="1218"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28.00</w:t>
            </w:r>
          </w:p>
        </w:tc>
        <w:tc>
          <w:tcPr>
            <w:tcW w:w="1394" w:type="dxa"/>
            <w:vAlign w:val="center"/>
          </w:tcPr>
          <w:p>
            <w:pPr>
              <w:widowControl/>
              <w:snapToGrid w:val="0"/>
              <w:spacing w:line="0" w:lineRule="atLeast"/>
              <w:ind w:right="189" w:rightChars="90"/>
              <w:jc w:val="right"/>
              <w:rPr>
                <w:rFonts w:ascii="仿宋" w:hAnsi="仿宋" w:eastAsia="仿宋" w:cs="仿宋"/>
                <w:sz w:val="24"/>
                <w:highlight w:val="none"/>
              </w:rPr>
            </w:pPr>
            <w:r>
              <w:rPr>
                <w:rFonts w:hint="eastAsia" w:ascii="仿宋" w:hAnsi="仿宋" w:eastAsia="仿宋" w:cs="仿宋"/>
                <w:sz w:val="24"/>
                <w:highlight w:val="none"/>
              </w:rPr>
              <w:t>1</w:t>
            </w:r>
            <w:r>
              <w:rPr>
                <w:rFonts w:ascii="仿宋" w:hAnsi="仿宋" w:eastAsia="仿宋" w:cs="仿宋"/>
                <w:sz w:val="24"/>
                <w:highlight w:val="none"/>
              </w:rPr>
              <w:t>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24" w:type="dxa"/>
            <w:vAlign w:val="center"/>
          </w:tcPr>
          <w:p>
            <w:pPr>
              <w:widowControl/>
              <w:snapToGrid w:val="0"/>
              <w:spacing w:line="0" w:lineRule="atLeast"/>
              <w:jc w:val="center"/>
              <w:rPr>
                <w:rFonts w:ascii="仿宋" w:hAnsi="仿宋" w:eastAsia="仿宋" w:cs="仿宋"/>
                <w:sz w:val="24"/>
              </w:rPr>
            </w:pPr>
            <w:r>
              <w:rPr>
                <w:rFonts w:hint="eastAsia" w:ascii="仿宋" w:hAnsi="仿宋" w:eastAsia="仿宋" w:cs="仿宋"/>
                <w:b/>
                <w:bCs/>
                <w:kern w:val="0"/>
                <w:sz w:val="24"/>
                <w:lang w:val="zh-TW" w:eastAsia="zh-TW"/>
              </w:rPr>
              <w:t>分值</w:t>
            </w:r>
          </w:p>
        </w:tc>
        <w:tc>
          <w:tcPr>
            <w:tcW w:w="1379"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6.00</w:t>
            </w:r>
          </w:p>
        </w:tc>
        <w:tc>
          <w:tcPr>
            <w:tcW w:w="1218"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17.58</w:t>
            </w:r>
          </w:p>
        </w:tc>
        <w:tc>
          <w:tcPr>
            <w:tcW w:w="1218"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28.007</w:t>
            </w:r>
          </w:p>
        </w:tc>
        <w:tc>
          <w:tcPr>
            <w:tcW w:w="1218"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20.144</w:t>
            </w:r>
          </w:p>
        </w:tc>
        <w:tc>
          <w:tcPr>
            <w:tcW w:w="1394" w:type="dxa"/>
            <w:vAlign w:val="center"/>
          </w:tcPr>
          <w:p>
            <w:pPr>
              <w:widowControl/>
              <w:snapToGrid w:val="0"/>
              <w:spacing w:line="0" w:lineRule="atLeast"/>
              <w:ind w:right="189" w:rightChars="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71.731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24" w:type="dxa"/>
            <w:vAlign w:val="center"/>
          </w:tcPr>
          <w:p>
            <w:pPr>
              <w:widowControl/>
              <w:snapToGrid w:val="0"/>
              <w:spacing w:line="0" w:lineRule="atLeast"/>
              <w:jc w:val="center"/>
              <w:rPr>
                <w:rFonts w:ascii="仿宋" w:hAnsi="仿宋" w:eastAsia="仿宋" w:cs="仿宋"/>
                <w:sz w:val="24"/>
              </w:rPr>
            </w:pPr>
            <w:r>
              <w:rPr>
                <w:rFonts w:hint="eastAsia" w:ascii="仿宋" w:hAnsi="仿宋" w:eastAsia="仿宋" w:cs="仿宋"/>
                <w:b/>
                <w:bCs/>
                <w:kern w:val="0"/>
                <w:sz w:val="24"/>
                <w:lang w:val="zh-TW" w:eastAsia="zh-TW"/>
              </w:rPr>
              <w:t>得分率</w:t>
            </w:r>
          </w:p>
        </w:tc>
        <w:tc>
          <w:tcPr>
            <w:tcW w:w="1379" w:type="dxa"/>
            <w:vAlign w:val="center"/>
          </w:tcPr>
          <w:p>
            <w:pPr>
              <w:widowControl/>
              <w:snapToGrid w:val="0"/>
              <w:spacing w:line="0" w:lineRule="atLeast"/>
              <w:ind w:right="189" w:rightChars="90"/>
              <w:jc w:val="righ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75.00%</w:t>
            </w:r>
          </w:p>
        </w:tc>
        <w:tc>
          <w:tcPr>
            <w:tcW w:w="1218" w:type="dxa"/>
            <w:vAlign w:val="center"/>
          </w:tcPr>
          <w:p>
            <w:pPr>
              <w:widowControl/>
              <w:snapToGrid w:val="0"/>
              <w:spacing w:line="0" w:lineRule="atLeast"/>
              <w:ind w:right="189" w:rightChars="90"/>
              <w:jc w:val="righ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73.25%</w:t>
            </w:r>
          </w:p>
        </w:tc>
        <w:tc>
          <w:tcPr>
            <w:tcW w:w="1218" w:type="dxa"/>
            <w:vAlign w:val="center"/>
          </w:tcPr>
          <w:p>
            <w:pPr>
              <w:widowControl/>
              <w:snapToGrid w:val="0"/>
              <w:spacing w:line="0" w:lineRule="atLeast"/>
              <w:ind w:right="189" w:rightChars="90"/>
              <w:jc w:val="righ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70.02%</w:t>
            </w:r>
          </w:p>
        </w:tc>
        <w:tc>
          <w:tcPr>
            <w:tcW w:w="1218" w:type="dxa"/>
            <w:vAlign w:val="center"/>
          </w:tcPr>
          <w:p>
            <w:pPr>
              <w:widowControl/>
              <w:snapToGrid w:val="0"/>
              <w:spacing w:line="0" w:lineRule="atLeast"/>
              <w:ind w:right="189" w:rightChars="90"/>
              <w:jc w:val="righ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71.94%</w:t>
            </w:r>
          </w:p>
        </w:tc>
        <w:tc>
          <w:tcPr>
            <w:tcW w:w="1394" w:type="dxa"/>
            <w:vAlign w:val="center"/>
          </w:tcPr>
          <w:p>
            <w:pPr>
              <w:widowControl/>
              <w:snapToGrid w:val="0"/>
              <w:spacing w:line="0" w:lineRule="atLeast"/>
              <w:ind w:right="189" w:rightChars="90"/>
              <w:jc w:val="righ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71.731%</w:t>
            </w:r>
          </w:p>
        </w:tc>
      </w:tr>
    </w:tbl>
    <w:p>
      <w:pPr>
        <w:pStyle w:val="31"/>
        <w:spacing w:line="560" w:lineRule="exact"/>
        <w:ind w:firstLine="562"/>
        <w:rPr>
          <w:rFonts w:ascii="仿宋" w:hAnsi="仿宋" w:eastAsia="仿宋"/>
          <w:b/>
          <w:highlight w:val="none"/>
        </w:rPr>
      </w:pPr>
      <w:bookmarkStart w:id="119" w:name="_Toc24529_WPSOffice_Level2"/>
      <w:bookmarkStart w:id="120" w:name="_Toc31433_WPSOffice_Level2"/>
      <w:bookmarkStart w:id="121" w:name="_Toc16468_WPSOffice_Level2"/>
      <w:bookmarkStart w:id="122" w:name="_Toc29108_WPSOffice_Level2"/>
      <w:bookmarkStart w:id="123" w:name="_Toc2356_WPSOffice_Level2"/>
      <w:bookmarkStart w:id="124" w:name="_Toc17477_WPSOffice_Level2"/>
      <w:bookmarkStart w:id="125" w:name="_Toc13565_WPSOffice_Level2"/>
      <w:bookmarkStart w:id="126" w:name="_Toc30705_WPSOffice_Level2"/>
      <w:bookmarkStart w:id="127" w:name="_Toc6205_WPSOffice_Level2"/>
      <w:r>
        <w:rPr>
          <w:rFonts w:hint="eastAsia" w:ascii="仿宋" w:hAnsi="仿宋" w:eastAsia="仿宋"/>
          <w:b/>
          <w:highlight w:val="none"/>
        </w:rPr>
        <w:t>（二）评价结论</w:t>
      </w:r>
      <w:bookmarkEnd w:id="119"/>
      <w:bookmarkEnd w:id="120"/>
      <w:bookmarkEnd w:id="121"/>
      <w:bookmarkEnd w:id="122"/>
      <w:bookmarkEnd w:id="123"/>
      <w:bookmarkEnd w:id="124"/>
      <w:bookmarkEnd w:id="125"/>
      <w:bookmarkEnd w:id="126"/>
      <w:bookmarkEnd w:id="127"/>
    </w:p>
    <w:p>
      <w:pPr>
        <w:spacing w:line="560" w:lineRule="exact"/>
        <w:ind w:firstLine="560" w:firstLineChars="200"/>
        <w:outlineLvl w:val="0"/>
        <w:rPr>
          <w:rFonts w:hint="eastAsia" w:ascii="仿宋" w:hAnsi="仿宋" w:eastAsia="仿宋"/>
          <w:b w:val="0"/>
          <w:bCs/>
          <w:sz w:val="28"/>
          <w:szCs w:val="28"/>
          <w:highlight w:val="none"/>
          <w:lang w:val="en-US" w:eastAsia="zh-CN"/>
        </w:rPr>
      </w:pPr>
      <w:r>
        <w:rPr>
          <w:rFonts w:ascii="仿宋" w:hAnsi="仿宋" w:eastAsia="仿宋" w:cs="仿宋"/>
          <w:i w:val="0"/>
          <w:caps w:val="0"/>
          <w:color w:val="000000"/>
          <w:spacing w:val="0"/>
          <w:sz w:val="28"/>
          <w:szCs w:val="28"/>
          <w:highlight w:val="none"/>
        </w:rPr>
        <w:t>经过资料收集、现场勘查以及评价分析等评价程序，我们认为</w:t>
      </w:r>
      <w:r>
        <w:rPr>
          <w:rFonts w:hint="eastAsia" w:ascii="仿宋" w:hAnsi="仿宋" w:eastAsia="仿宋" w:cs="仿宋"/>
          <w:i w:val="0"/>
          <w:caps w:val="0"/>
          <w:color w:val="000000"/>
          <w:spacing w:val="0"/>
          <w:sz w:val="28"/>
          <w:szCs w:val="28"/>
          <w:highlight w:val="none"/>
          <w:lang w:val="en-US" w:eastAsia="zh-CN"/>
        </w:rPr>
        <w:t>临猗县</w:t>
      </w:r>
      <w:r>
        <w:rPr>
          <w:rFonts w:hint="eastAsia" w:ascii="仿宋" w:hAnsi="仿宋" w:eastAsia="仿宋"/>
          <w:b w:val="0"/>
          <w:bCs/>
          <w:sz w:val="28"/>
          <w:szCs w:val="28"/>
          <w:highlight w:val="none"/>
          <w:lang w:val="en-US" w:eastAsia="zh-CN"/>
        </w:rPr>
        <w:t>2020年基本公卫项目能按照项目实施方案开展具体工作，项目实施基本符合国家相关规范要求，项目监督考核有效，项目效益发挥明显，基本能达到预期目标，但在项目服务质量、项目政策知晓度、项目管理、基层公卫人员配置等方面需要进一步完善。</w:t>
      </w:r>
    </w:p>
    <w:p>
      <w:pPr>
        <w:pStyle w:val="31"/>
        <w:spacing w:line="560" w:lineRule="exact"/>
        <w:ind w:firstLine="562"/>
        <w:rPr>
          <w:rFonts w:hint="eastAsia" w:ascii="仿宋" w:hAnsi="仿宋" w:eastAsia="仿宋" w:cs="仿宋"/>
          <w:bCs/>
          <w:sz w:val="28"/>
          <w:szCs w:val="28"/>
          <w:highlight w:val="none"/>
          <w:lang w:bidi="ar"/>
        </w:rPr>
      </w:pPr>
      <w:r>
        <w:rPr>
          <w:rFonts w:hint="eastAsia" w:ascii="仿宋" w:hAnsi="仿宋" w:eastAsia="仿宋"/>
          <w:b w:val="0"/>
          <w:bCs/>
          <w:sz w:val="28"/>
          <w:szCs w:val="28"/>
          <w:highlight w:val="none"/>
          <w:lang w:val="en-US" w:eastAsia="zh-CN"/>
        </w:rPr>
        <w:t>整体来看，2020年基本公卫项目的实施，进一步提升了辖区居民的健康管理意识；能够更加规范有效的管理老年人、妇女、儿童等重点人群；有效完成辖区内新冠肺炎疫情的管理、登记、报告及处置工作；并且通过对项目政策持续宣传，使项目服务目标群体不断增长，</w:t>
      </w:r>
      <w:r>
        <w:rPr>
          <w:rFonts w:hint="eastAsia" w:ascii="仿宋" w:hAnsi="仿宋" w:eastAsia="仿宋" w:cs="仿宋"/>
          <w:bCs/>
          <w:sz w:val="28"/>
          <w:szCs w:val="28"/>
          <w:highlight w:val="none"/>
          <w:lang w:val="en-US" w:eastAsia="zh-CN" w:bidi="ar"/>
        </w:rPr>
        <w:t>对实现“</w:t>
      </w:r>
      <w:r>
        <w:rPr>
          <w:rFonts w:hint="eastAsia" w:ascii="仿宋" w:hAnsi="仿宋" w:eastAsia="仿宋" w:cs="仿宋"/>
          <w:bCs/>
          <w:sz w:val="28"/>
          <w:szCs w:val="28"/>
          <w:highlight w:val="none"/>
          <w:lang w:bidi="ar"/>
        </w:rPr>
        <w:t>基本公共卫生服务逐步均等化的机制基本完善，重大疾病和主要健康危险因素得到有效控制，城乡居民健康水平得到进一步提高</w:t>
      </w:r>
      <w:r>
        <w:rPr>
          <w:rFonts w:hint="eastAsia" w:ascii="仿宋" w:hAnsi="仿宋" w:eastAsia="仿宋" w:cs="仿宋"/>
          <w:bCs/>
          <w:sz w:val="28"/>
          <w:szCs w:val="28"/>
          <w:highlight w:val="none"/>
          <w:lang w:eastAsia="zh-CN" w:bidi="ar"/>
        </w:rPr>
        <w:t>”</w:t>
      </w:r>
      <w:r>
        <w:rPr>
          <w:rFonts w:hint="eastAsia" w:ascii="仿宋" w:hAnsi="仿宋" w:eastAsia="仿宋" w:cs="仿宋"/>
          <w:bCs/>
          <w:sz w:val="28"/>
          <w:szCs w:val="28"/>
          <w:highlight w:val="none"/>
          <w:lang w:val="en-US" w:eastAsia="zh-CN" w:bidi="ar"/>
        </w:rPr>
        <w:t>的目标起到了扎实的推动作用</w:t>
      </w:r>
      <w:r>
        <w:rPr>
          <w:rFonts w:hint="eastAsia" w:ascii="仿宋" w:hAnsi="仿宋" w:eastAsia="仿宋" w:cs="仿宋"/>
          <w:bCs/>
          <w:sz w:val="28"/>
          <w:szCs w:val="28"/>
          <w:highlight w:val="none"/>
          <w:lang w:bidi="ar"/>
        </w:rPr>
        <w:t>。</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rightChars="0" w:firstLine="562" w:firstLineChars="200"/>
        <w:jc w:val="both"/>
        <w:textAlignment w:val="auto"/>
        <w:outlineLvl w:val="0"/>
        <w:rPr>
          <w:rFonts w:hint="eastAsia" w:ascii="仿宋" w:hAnsi="仿宋" w:eastAsia="仿宋" w:cs="仿宋"/>
          <w:b/>
          <w:bCs w:val="0"/>
          <w:color w:val="000000"/>
          <w:sz w:val="28"/>
          <w:szCs w:val="28"/>
          <w:highlight w:val="none"/>
          <w:lang w:val="en-US" w:eastAsia="zh-CN"/>
        </w:rPr>
      </w:pPr>
      <w:r>
        <w:rPr>
          <w:rFonts w:hint="eastAsia" w:ascii="仿宋" w:hAnsi="仿宋" w:eastAsia="仿宋" w:cs="仿宋"/>
          <w:b/>
          <w:bCs w:val="0"/>
          <w:color w:val="000000"/>
          <w:sz w:val="28"/>
          <w:szCs w:val="28"/>
          <w:highlight w:val="none"/>
          <w:lang w:val="en-US" w:eastAsia="zh-CN"/>
        </w:rPr>
        <w:t>四、绩效评价指标分析情况</w:t>
      </w:r>
      <w:bookmarkEnd w:id="104"/>
      <w:bookmarkEnd w:id="10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sz w:val="28"/>
          <w:szCs w:val="28"/>
          <w:lang w:val="en-US" w:eastAsia="zh-CN"/>
        </w:rPr>
      </w:pPr>
      <w:bookmarkStart w:id="128" w:name="_Toc16005_WPSOffice_Level2"/>
      <w:bookmarkStart w:id="129" w:name="_Toc25126_WPSOffice_Level2"/>
      <w:bookmarkStart w:id="130" w:name="_Toc24178_WPSOffice_Level2"/>
      <w:bookmarkStart w:id="131" w:name="_Toc27526_WPSOffice_Level2"/>
      <w:bookmarkStart w:id="132" w:name="_Toc26463"/>
      <w:bookmarkStart w:id="133" w:name="_Toc2932_WPSOffice_Level2"/>
      <w:bookmarkStart w:id="134" w:name="_Toc7303_WPSOffice_Level2"/>
      <w:bookmarkStart w:id="135" w:name="_Toc9333_WPSOffice_Level2"/>
      <w:bookmarkStart w:id="136" w:name="_Toc7835_WPSOffice_Level2"/>
      <w:bookmarkStart w:id="137" w:name="_Toc31911_WPSOffice_Level2"/>
      <w:r>
        <w:rPr>
          <w:rFonts w:hint="eastAsia" w:ascii="仿宋" w:hAnsi="仿宋" w:eastAsia="仿宋" w:cs="仿宋"/>
          <w:b w:val="0"/>
          <w:bCs/>
          <w:sz w:val="28"/>
          <w:szCs w:val="28"/>
          <w:lang w:val="en-US" w:eastAsia="zh-CN"/>
        </w:rPr>
        <w:t>临猗县基本公卫项目现场评价，我们实地查看了10家相关单位，包括：猗氏卫生院、牛杜卫生院、庙上卫生院、北景卫生院、县中医院、县医疗集团、县卫生监督所、县疾控中心、县妇幼院、县卫生健康和体育局，在项目分析评价时，部分指标得分是依据各基层单位的具体得分和其专项资金占比加权平均得出的。</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（一）决策情况分析</w:t>
      </w:r>
      <w:bookmarkEnd w:id="128"/>
      <w:bookmarkEnd w:id="129"/>
      <w:bookmarkEnd w:id="130"/>
      <w:bookmarkEnd w:id="131"/>
      <w:bookmarkEnd w:id="132"/>
      <w:bookmarkEnd w:id="133"/>
      <w:bookmarkEnd w:id="134"/>
      <w:bookmarkEnd w:id="135"/>
      <w:bookmarkEnd w:id="136"/>
      <w:bookmarkEnd w:id="13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ascii="仿宋" w:hAnsi="仿宋" w:eastAsia="仿宋" w:cs="仿宋"/>
          <w:sz w:val="28"/>
          <w:szCs w:val="28"/>
          <w:highlight w:val="none"/>
        </w:rPr>
      </w:pPr>
      <w:bookmarkStart w:id="138" w:name="_Toc13749"/>
      <w:r>
        <w:rPr>
          <w:rFonts w:hint="eastAsia" w:ascii="仿宋" w:hAnsi="仿宋" w:eastAsia="仿宋" w:cs="仿宋"/>
          <w:sz w:val="28"/>
          <w:szCs w:val="28"/>
          <w:highlight w:val="none"/>
          <w:lang w:val="en-US" w:eastAsia="zh-CN"/>
        </w:rPr>
        <w:t>决策</w:t>
      </w:r>
      <w:r>
        <w:rPr>
          <w:rFonts w:hint="eastAsia" w:ascii="仿宋" w:hAnsi="仿宋" w:eastAsia="仿宋" w:cs="仿宋"/>
          <w:sz w:val="28"/>
          <w:szCs w:val="28"/>
          <w:highlight w:val="none"/>
        </w:rPr>
        <w:t>情况分别从项目</w:t>
      </w:r>
      <w:r>
        <w:rPr>
          <w:rFonts w:hint="eastAsia" w:ascii="仿宋" w:hAnsi="仿宋" w:eastAsia="仿宋" w:cs="仿宋"/>
          <w:sz w:val="28"/>
          <w:szCs w:val="28"/>
          <w:highlight w:val="none"/>
          <w:lang w:val="en-US" w:eastAsia="zh-CN"/>
        </w:rPr>
        <w:t>决策、绩效目标</w:t>
      </w:r>
      <w:r>
        <w:rPr>
          <w:rFonts w:hint="eastAsia" w:ascii="仿宋" w:hAnsi="仿宋" w:eastAsia="仿宋" w:cs="仿宋"/>
          <w:sz w:val="28"/>
          <w:szCs w:val="28"/>
          <w:highlight w:val="none"/>
        </w:rPr>
        <w:t>和资金</w:t>
      </w:r>
      <w:r>
        <w:rPr>
          <w:rFonts w:hint="eastAsia" w:ascii="仿宋" w:hAnsi="仿宋" w:eastAsia="仿宋" w:cs="仿宋"/>
          <w:sz w:val="28"/>
          <w:szCs w:val="28"/>
          <w:highlight w:val="none"/>
          <w:lang w:val="en-US" w:eastAsia="zh-CN"/>
        </w:rPr>
        <w:t>投入三</w:t>
      </w:r>
      <w:r>
        <w:rPr>
          <w:rFonts w:hint="eastAsia" w:ascii="仿宋" w:hAnsi="仿宋" w:eastAsia="仿宋" w:cs="仿宋"/>
          <w:sz w:val="28"/>
          <w:szCs w:val="28"/>
          <w:highlight w:val="none"/>
        </w:rPr>
        <w:t>个方面进行分析，共设置</w:t>
      </w:r>
      <w:r>
        <w:rPr>
          <w:rFonts w:hint="eastAsia" w:ascii="仿宋" w:hAnsi="仿宋" w:eastAsia="仿宋" w:cs="仿宋"/>
          <w:sz w:val="28"/>
          <w:szCs w:val="28"/>
          <w:highlight w:val="none"/>
          <w:lang w:val="en-US" w:eastAsia="zh-CN"/>
        </w:rPr>
        <w:t>三</w:t>
      </w:r>
      <w:r>
        <w:rPr>
          <w:rFonts w:hint="eastAsia" w:ascii="仿宋" w:hAnsi="仿宋" w:eastAsia="仿宋" w:cs="仿宋"/>
          <w:sz w:val="28"/>
          <w:szCs w:val="28"/>
          <w:highlight w:val="none"/>
        </w:rPr>
        <w:t>个二级指标</w:t>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rPr>
        <w:t>个三级指标。</w:t>
      </w:r>
      <w:r>
        <w:rPr>
          <w:rFonts w:hint="eastAsia" w:ascii="仿宋" w:hAnsi="仿宋" w:eastAsia="仿宋" w:cs="仿宋"/>
          <w:sz w:val="28"/>
          <w:szCs w:val="28"/>
          <w:highlight w:val="none"/>
          <w:lang w:val="en-US" w:eastAsia="zh-CN"/>
        </w:rPr>
        <w:t>决策</w:t>
      </w:r>
      <w:r>
        <w:rPr>
          <w:rFonts w:hint="eastAsia" w:ascii="仿宋" w:hAnsi="仿宋" w:eastAsia="仿宋" w:cs="仿宋"/>
          <w:sz w:val="28"/>
          <w:szCs w:val="28"/>
          <w:highlight w:val="none"/>
        </w:rPr>
        <w:t>类指标分值</w:t>
      </w: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rPr>
        <w:t>分，实际得分</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rPr>
        <w:t>分，得分率</w:t>
      </w:r>
      <w:r>
        <w:rPr>
          <w:rFonts w:hint="eastAsia" w:ascii="仿宋" w:hAnsi="仿宋" w:eastAsia="仿宋" w:cs="仿宋"/>
          <w:sz w:val="28"/>
          <w:szCs w:val="28"/>
          <w:highlight w:val="none"/>
          <w:lang w:val="en-US" w:eastAsia="zh-CN"/>
        </w:rPr>
        <w:t>75</w:t>
      </w:r>
      <w:r>
        <w:rPr>
          <w:rFonts w:hint="eastAsia" w:ascii="仿宋" w:hAnsi="仿宋" w:eastAsia="仿宋" w:cs="仿宋"/>
          <w:sz w:val="28"/>
          <w:szCs w:val="28"/>
          <w:highlight w:val="none"/>
        </w:rPr>
        <w:t>%。各分项指标得分情况如下表所示：</w:t>
      </w:r>
      <w:bookmarkEnd w:id="138"/>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仿宋" w:hAnsi="仿宋" w:eastAsia="仿宋" w:cs="仿宋"/>
          <w:b/>
          <w:sz w:val="28"/>
          <w:szCs w:val="28"/>
        </w:rPr>
      </w:pPr>
      <w:bookmarkStart w:id="139" w:name="_Toc21950"/>
      <w:r>
        <w:rPr>
          <w:rFonts w:hint="eastAsia" w:ascii="仿宋" w:hAnsi="仿宋" w:eastAsia="仿宋" w:cs="仿宋"/>
          <w:b/>
          <w:sz w:val="28"/>
          <w:szCs w:val="28"/>
        </w:rPr>
        <w:t>表</w:t>
      </w:r>
      <w:r>
        <w:rPr>
          <w:rFonts w:hint="eastAsia" w:ascii="仿宋" w:hAnsi="仿宋" w:eastAsia="仿宋" w:cs="仿宋"/>
          <w:b/>
          <w:sz w:val="28"/>
          <w:szCs w:val="28"/>
          <w:lang w:val="en-US" w:eastAsia="zh-CN"/>
        </w:rPr>
        <w:t>3-2</w:t>
      </w:r>
      <w:r>
        <w:rPr>
          <w:rFonts w:ascii="仿宋" w:hAnsi="仿宋" w:eastAsia="仿宋" w:cs="仿宋"/>
          <w:b/>
          <w:sz w:val="28"/>
          <w:szCs w:val="28"/>
        </w:rPr>
        <w:t xml:space="preserve"> </w:t>
      </w:r>
      <w:r>
        <w:rPr>
          <w:rFonts w:hint="eastAsia" w:ascii="仿宋" w:hAnsi="仿宋" w:eastAsia="仿宋" w:cs="仿宋"/>
          <w:b/>
          <w:sz w:val="28"/>
          <w:szCs w:val="28"/>
          <w:lang w:val="en-US" w:eastAsia="zh-CN"/>
        </w:rPr>
        <w:t>决策</w:t>
      </w:r>
      <w:r>
        <w:rPr>
          <w:rFonts w:hint="eastAsia" w:ascii="仿宋" w:hAnsi="仿宋" w:eastAsia="仿宋" w:cs="仿宋"/>
          <w:b/>
          <w:sz w:val="28"/>
          <w:szCs w:val="28"/>
        </w:rPr>
        <w:t>类指标得分情况</w:t>
      </w:r>
      <w:bookmarkEnd w:id="139"/>
    </w:p>
    <w:p>
      <w:pPr>
        <w:pStyle w:val="2"/>
      </w:pPr>
    </w:p>
    <w:tbl>
      <w:tblPr>
        <w:tblStyle w:val="15"/>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4253"/>
        <w:gridCol w:w="1169"/>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88" w:type="dxa"/>
            <w:shd w:val="clear" w:color="auto" w:fill="BEBEBE" w:themeFill="background1" w:themeFillShade="BF"/>
            <w:vAlign w:val="center"/>
          </w:tcPr>
          <w:p>
            <w:pPr>
              <w:jc w:val="center"/>
              <w:rPr>
                <w:rFonts w:ascii="仿宋" w:hAnsi="仿宋" w:eastAsia="仿宋" w:cs="仿宋"/>
                <w:b/>
                <w:bCs/>
                <w:sz w:val="24"/>
              </w:rPr>
            </w:pPr>
            <w:r>
              <w:rPr>
                <w:rFonts w:hint="eastAsia" w:ascii="仿宋" w:hAnsi="仿宋" w:eastAsia="仿宋" w:cs="仿宋"/>
                <w:b/>
                <w:bCs/>
                <w:sz w:val="24"/>
              </w:rPr>
              <w:t>二级指标</w:t>
            </w:r>
          </w:p>
        </w:tc>
        <w:tc>
          <w:tcPr>
            <w:tcW w:w="4253" w:type="dxa"/>
            <w:shd w:val="clear" w:color="auto" w:fill="BEBEBE" w:themeFill="background1" w:themeFillShade="BF"/>
            <w:vAlign w:val="center"/>
          </w:tcPr>
          <w:p>
            <w:pPr>
              <w:jc w:val="center"/>
              <w:rPr>
                <w:rFonts w:ascii="仿宋" w:hAnsi="仿宋" w:eastAsia="仿宋" w:cs="仿宋"/>
                <w:b/>
                <w:bCs/>
                <w:sz w:val="24"/>
              </w:rPr>
            </w:pPr>
            <w:r>
              <w:rPr>
                <w:rFonts w:hint="eastAsia" w:ascii="仿宋" w:hAnsi="仿宋" w:eastAsia="仿宋" w:cs="仿宋"/>
                <w:b/>
                <w:bCs/>
                <w:sz w:val="24"/>
              </w:rPr>
              <w:t>三级指标</w:t>
            </w:r>
          </w:p>
        </w:tc>
        <w:tc>
          <w:tcPr>
            <w:tcW w:w="1169" w:type="dxa"/>
            <w:shd w:val="clear" w:color="auto" w:fill="BEBEBE" w:themeFill="background1" w:themeFillShade="BF"/>
            <w:vAlign w:val="center"/>
          </w:tcPr>
          <w:p>
            <w:pPr>
              <w:jc w:val="center"/>
              <w:rPr>
                <w:rFonts w:ascii="仿宋" w:hAnsi="仿宋" w:eastAsia="仿宋" w:cs="仿宋"/>
                <w:b/>
                <w:bCs/>
                <w:sz w:val="24"/>
              </w:rPr>
            </w:pPr>
            <w:r>
              <w:rPr>
                <w:rFonts w:hint="eastAsia" w:ascii="仿宋" w:hAnsi="仿宋" w:eastAsia="仿宋" w:cs="仿宋"/>
                <w:b/>
                <w:bCs/>
                <w:sz w:val="24"/>
              </w:rPr>
              <w:t>权重</w:t>
            </w:r>
          </w:p>
        </w:tc>
        <w:tc>
          <w:tcPr>
            <w:tcW w:w="1170" w:type="dxa"/>
            <w:shd w:val="clear" w:color="auto" w:fill="BEBEBE" w:themeFill="background1" w:themeFillShade="BF"/>
            <w:vAlign w:val="center"/>
          </w:tcPr>
          <w:p>
            <w:pPr>
              <w:jc w:val="center"/>
              <w:rPr>
                <w:rFonts w:ascii="仿宋" w:hAnsi="仿宋" w:eastAsia="仿宋" w:cs="仿宋"/>
                <w:b/>
                <w:bCs/>
                <w:sz w:val="24"/>
              </w:rPr>
            </w:pPr>
            <w:r>
              <w:rPr>
                <w:rFonts w:hint="eastAsia" w:ascii="仿宋" w:hAnsi="仿宋" w:eastAsia="仿宋" w:cs="仿宋"/>
                <w:b/>
                <w:bCs/>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项目决策</w:t>
            </w:r>
          </w:p>
        </w:tc>
        <w:tc>
          <w:tcPr>
            <w:tcW w:w="4253" w:type="dxa"/>
            <w:vAlign w:val="center"/>
          </w:tcPr>
          <w:p>
            <w:pPr>
              <w:jc w:val="left"/>
              <w:rPr>
                <w:rFonts w:hint="default" w:ascii="仿宋" w:hAnsi="仿宋" w:eastAsia="仿宋" w:cs="仿宋"/>
                <w:sz w:val="24"/>
                <w:lang w:val="en-US" w:eastAsia="zh-CN"/>
              </w:rPr>
            </w:pPr>
            <w:r>
              <w:rPr>
                <w:rFonts w:hint="eastAsia" w:ascii="仿宋" w:hAnsi="仿宋" w:eastAsia="仿宋" w:cs="仿宋"/>
                <w:sz w:val="24"/>
                <w:lang w:val="en-US" w:eastAsia="zh-CN"/>
              </w:rPr>
              <w:t>决策依据充分性</w:t>
            </w:r>
          </w:p>
        </w:tc>
        <w:tc>
          <w:tcPr>
            <w:tcW w:w="1169" w:type="dxa"/>
            <w:vAlign w:val="center"/>
          </w:tcPr>
          <w:p>
            <w:pPr>
              <w:jc w:val="center"/>
              <w:rPr>
                <w:rFonts w:ascii="仿宋" w:hAnsi="仿宋" w:eastAsia="仿宋" w:cs="仿宋"/>
                <w:sz w:val="24"/>
              </w:rPr>
            </w:pPr>
            <w:r>
              <w:rPr>
                <w:rFonts w:hint="eastAsia" w:ascii="仿宋" w:hAnsi="仿宋" w:eastAsia="仿宋" w:cs="仿宋"/>
                <w:sz w:val="24"/>
                <w:lang w:val="en-US" w:eastAsia="zh-CN"/>
              </w:rPr>
              <w:t>1</w:t>
            </w:r>
            <w:r>
              <w:rPr>
                <w:rFonts w:ascii="仿宋" w:hAnsi="仿宋" w:eastAsia="仿宋" w:cs="仿宋"/>
                <w:sz w:val="24"/>
              </w:rPr>
              <w:t>.00</w:t>
            </w:r>
          </w:p>
        </w:tc>
        <w:tc>
          <w:tcPr>
            <w:tcW w:w="1170" w:type="dxa"/>
            <w:vAlign w:val="center"/>
          </w:tcPr>
          <w:p>
            <w:pPr>
              <w:jc w:val="center"/>
              <w:rPr>
                <w:rFonts w:ascii="仿宋" w:hAnsi="仿宋" w:eastAsia="仿宋" w:cs="仿宋"/>
                <w:sz w:val="24"/>
              </w:rPr>
            </w:pPr>
            <w:r>
              <w:rPr>
                <w:rFonts w:hint="eastAsia" w:ascii="仿宋" w:hAnsi="仿宋" w:eastAsia="仿宋" w:cs="仿宋"/>
                <w:sz w:val="24"/>
                <w:lang w:val="en-US" w:eastAsia="zh-CN"/>
              </w:rPr>
              <w:t>1</w:t>
            </w:r>
            <w:r>
              <w:rPr>
                <w:rFonts w:ascii="仿宋" w:hAnsi="仿宋" w:eastAsia="仿宋" w:cs="仿宋"/>
                <w:sz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8" w:type="dxa"/>
            <w:vMerge w:val="restart"/>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绩效目标</w:t>
            </w:r>
          </w:p>
        </w:tc>
        <w:tc>
          <w:tcPr>
            <w:tcW w:w="4253" w:type="dxa"/>
            <w:vAlign w:val="center"/>
          </w:tcPr>
          <w:p>
            <w:pPr>
              <w:jc w:val="left"/>
              <w:rPr>
                <w:rFonts w:ascii="仿宋" w:hAnsi="仿宋" w:eastAsia="仿宋" w:cs="仿宋"/>
                <w:sz w:val="24"/>
              </w:rPr>
            </w:pPr>
            <w:r>
              <w:rPr>
                <w:rFonts w:hint="eastAsia" w:ascii="仿宋" w:hAnsi="仿宋" w:eastAsia="仿宋" w:cs="仿宋"/>
                <w:sz w:val="24"/>
              </w:rPr>
              <w:t>绩效目标合理性</w:t>
            </w:r>
          </w:p>
        </w:tc>
        <w:tc>
          <w:tcPr>
            <w:tcW w:w="1169" w:type="dxa"/>
            <w:vAlign w:val="center"/>
          </w:tcPr>
          <w:p>
            <w:pPr>
              <w:jc w:val="center"/>
              <w:rPr>
                <w:rFonts w:ascii="仿宋" w:hAnsi="仿宋" w:eastAsia="仿宋" w:cs="仿宋"/>
                <w:sz w:val="24"/>
              </w:rPr>
            </w:pPr>
            <w:r>
              <w:rPr>
                <w:rFonts w:hint="eastAsia" w:ascii="仿宋" w:hAnsi="仿宋" w:eastAsia="仿宋" w:cs="仿宋"/>
                <w:sz w:val="24"/>
                <w:lang w:val="en-US" w:eastAsia="zh-CN"/>
              </w:rPr>
              <w:t>2</w:t>
            </w:r>
            <w:r>
              <w:rPr>
                <w:rFonts w:ascii="仿宋" w:hAnsi="仿宋" w:eastAsia="仿宋" w:cs="仿宋"/>
                <w:sz w:val="24"/>
              </w:rPr>
              <w:t>.00</w:t>
            </w:r>
          </w:p>
        </w:tc>
        <w:tc>
          <w:tcPr>
            <w:tcW w:w="1170"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8" w:type="dxa"/>
            <w:vMerge w:val="continue"/>
            <w:vAlign w:val="center"/>
          </w:tcPr>
          <w:p>
            <w:pPr>
              <w:jc w:val="center"/>
              <w:rPr>
                <w:rFonts w:ascii="仿宋" w:hAnsi="仿宋" w:eastAsia="仿宋" w:cs="仿宋"/>
                <w:sz w:val="24"/>
              </w:rPr>
            </w:pPr>
          </w:p>
        </w:tc>
        <w:tc>
          <w:tcPr>
            <w:tcW w:w="4253" w:type="dxa"/>
            <w:vAlign w:val="center"/>
          </w:tcPr>
          <w:p>
            <w:pPr>
              <w:jc w:val="left"/>
              <w:rPr>
                <w:rFonts w:ascii="仿宋" w:hAnsi="仿宋" w:eastAsia="仿宋" w:cs="仿宋"/>
                <w:sz w:val="24"/>
              </w:rPr>
            </w:pPr>
            <w:r>
              <w:rPr>
                <w:rFonts w:hint="eastAsia" w:ascii="仿宋" w:hAnsi="仿宋" w:eastAsia="仿宋" w:cs="仿宋"/>
                <w:sz w:val="24"/>
              </w:rPr>
              <w:t>绩效指标明确性</w:t>
            </w:r>
          </w:p>
        </w:tc>
        <w:tc>
          <w:tcPr>
            <w:tcW w:w="1169" w:type="dxa"/>
            <w:vAlign w:val="center"/>
          </w:tcPr>
          <w:p>
            <w:pPr>
              <w:jc w:val="center"/>
              <w:rPr>
                <w:rFonts w:ascii="仿宋" w:hAnsi="仿宋" w:eastAsia="仿宋" w:cs="仿宋"/>
                <w:sz w:val="24"/>
              </w:rPr>
            </w:pPr>
            <w:r>
              <w:rPr>
                <w:rFonts w:hint="eastAsia" w:ascii="仿宋" w:hAnsi="仿宋" w:eastAsia="仿宋" w:cs="仿宋"/>
                <w:sz w:val="24"/>
                <w:lang w:val="en-US" w:eastAsia="zh-CN"/>
              </w:rPr>
              <w:t>2</w:t>
            </w:r>
            <w:r>
              <w:rPr>
                <w:rFonts w:ascii="仿宋" w:hAnsi="仿宋" w:eastAsia="仿宋" w:cs="仿宋"/>
                <w:sz w:val="24"/>
              </w:rPr>
              <w:t>.00</w:t>
            </w:r>
          </w:p>
        </w:tc>
        <w:tc>
          <w:tcPr>
            <w:tcW w:w="1170"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8" w:type="dxa"/>
            <w:vMerge w:val="restart"/>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资金投入</w:t>
            </w:r>
          </w:p>
        </w:tc>
        <w:tc>
          <w:tcPr>
            <w:tcW w:w="4253" w:type="dxa"/>
            <w:vAlign w:val="center"/>
          </w:tcPr>
          <w:p>
            <w:pPr>
              <w:jc w:val="left"/>
              <w:rPr>
                <w:rFonts w:hint="default" w:ascii="仿宋" w:hAnsi="仿宋" w:eastAsia="仿宋" w:cs="仿宋"/>
                <w:sz w:val="24"/>
                <w:lang w:val="en-US" w:eastAsia="zh-CN"/>
              </w:rPr>
            </w:pPr>
            <w:r>
              <w:rPr>
                <w:rFonts w:hint="eastAsia" w:ascii="仿宋" w:hAnsi="仿宋" w:eastAsia="仿宋" w:cs="仿宋"/>
                <w:sz w:val="24"/>
                <w:lang w:val="en-US" w:eastAsia="zh-CN"/>
              </w:rPr>
              <w:t>预算编制科学性</w:t>
            </w:r>
          </w:p>
        </w:tc>
        <w:tc>
          <w:tcPr>
            <w:tcW w:w="1169" w:type="dxa"/>
            <w:vAlign w:val="center"/>
          </w:tcPr>
          <w:p>
            <w:pPr>
              <w:jc w:val="center"/>
              <w:rPr>
                <w:rFonts w:ascii="仿宋" w:hAnsi="仿宋" w:eastAsia="仿宋" w:cs="仿宋"/>
                <w:sz w:val="24"/>
              </w:rPr>
            </w:pPr>
            <w:r>
              <w:rPr>
                <w:rFonts w:hint="eastAsia" w:ascii="仿宋" w:hAnsi="仿宋" w:eastAsia="仿宋" w:cs="仿宋"/>
                <w:sz w:val="24"/>
                <w:lang w:val="en-US" w:eastAsia="zh-CN"/>
              </w:rPr>
              <w:t>1</w:t>
            </w:r>
            <w:r>
              <w:rPr>
                <w:rFonts w:ascii="仿宋" w:hAnsi="仿宋" w:eastAsia="仿宋" w:cs="仿宋"/>
                <w:sz w:val="24"/>
              </w:rPr>
              <w:t>.00</w:t>
            </w:r>
          </w:p>
        </w:tc>
        <w:tc>
          <w:tcPr>
            <w:tcW w:w="1170" w:type="dxa"/>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8" w:type="dxa"/>
            <w:vMerge w:val="continue"/>
            <w:vAlign w:val="center"/>
          </w:tcPr>
          <w:p>
            <w:pPr>
              <w:jc w:val="center"/>
              <w:rPr>
                <w:rFonts w:ascii="仿宋" w:hAnsi="仿宋" w:eastAsia="仿宋" w:cs="仿宋"/>
                <w:sz w:val="24"/>
              </w:rPr>
            </w:pPr>
          </w:p>
        </w:tc>
        <w:tc>
          <w:tcPr>
            <w:tcW w:w="4253" w:type="dxa"/>
            <w:vAlign w:val="center"/>
          </w:tcPr>
          <w:p>
            <w:pPr>
              <w:jc w:val="left"/>
              <w:rPr>
                <w:rFonts w:hint="default" w:ascii="仿宋" w:hAnsi="仿宋" w:eastAsia="仿宋" w:cs="仿宋"/>
                <w:sz w:val="24"/>
                <w:lang w:val="en-US" w:eastAsia="zh-CN"/>
              </w:rPr>
            </w:pPr>
            <w:r>
              <w:rPr>
                <w:rFonts w:hint="eastAsia" w:ascii="仿宋" w:hAnsi="仿宋" w:eastAsia="仿宋" w:cs="仿宋"/>
                <w:sz w:val="24"/>
                <w:lang w:val="en-US" w:eastAsia="zh-CN"/>
              </w:rPr>
              <w:t>资金分配合理性</w:t>
            </w:r>
          </w:p>
        </w:tc>
        <w:tc>
          <w:tcPr>
            <w:tcW w:w="1169" w:type="dxa"/>
            <w:vAlign w:val="center"/>
          </w:tcPr>
          <w:p>
            <w:pPr>
              <w:jc w:val="center"/>
              <w:rPr>
                <w:rFonts w:ascii="仿宋" w:hAnsi="仿宋" w:eastAsia="仿宋" w:cs="仿宋"/>
                <w:sz w:val="24"/>
              </w:rPr>
            </w:pPr>
            <w:r>
              <w:rPr>
                <w:rFonts w:hint="eastAsia" w:ascii="仿宋" w:hAnsi="仿宋" w:eastAsia="仿宋" w:cs="仿宋"/>
                <w:sz w:val="24"/>
                <w:lang w:val="en-US" w:eastAsia="zh-CN"/>
              </w:rPr>
              <w:t>2</w:t>
            </w:r>
            <w:r>
              <w:rPr>
                <w:rFonts w:ascii="仿宋" w:hAnsi="仿宋" w:eastAsia="仿宋" w:cs="仿宋"/>
                <w:sz w:val="24"/>
              </w:rPr>
              <w:t>.00</w:t>
            </w:r>
          </w:p>
        </w:tc>
        <w:tc>
          <w:tcPr>
            <w:tcW w:w="1170" w:type="dxa"/>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8" w:type="dxa"/>
            <w:vAlign w:val="center"/>
          </w:tcPr>
          <w:p>
            <w:pPr>
              <w:jc w:val="center"/>
              <w:rPr>
                <w:rFonts w:hint="default" w:ascii="仿宋" w:hAnsi="仿宋" w:eastAsia="仿宋" w:cs="仿宋"/>
                <w:b/>
                <w:sz w:val="24"/>
                <w:lang w:val="en-US" w:eastAsia="zh-CN"/>
              </w:rPr>
            </w:pPr>
            <w:r>
              <w:rPr>
                <w:rFonts w:hint="eastAsia" w:ascii="仿宋" w:hAnsi="仿宋" w:eastAsia="仿宋" w:cs="仿宋"/>
                <w:b/>
                <w:sz w:val="24"/>
                <w:lang w:val="en-US" w:eastAsia="zh-CN"/>
              </w:rPr>
              <w:t>决策</w:t>
            </w:r>
          </w:p>
        </w:tc>
        <w:tc>
          <w:tcPr>
            <w:tcW w:w="4253" w:type="dxa"/>
            <w:vAlign w:val="center"/>
          </w:tcPr>
          <w:p>
            <w:pPr>
              <w:jc w:val="center"/>
              <w:rPr>
                <w:rFonts w:ascii="仿宋" w:hAnsi="仿宋" w:eastAsia="仿宋" w:cs="仿宋"/>
                <w:b/>
                <w:sz w:val="24"/>
              </w:rPr>
            </w:pPr>
            <w:r>
              <w:rPr>
                <w:rFonts w:hint="eastAsia" w:ascii="仿宋" w:hAnsi="仿宋" w:eastAsia="仿宋" w:cs="仿宋"/>
                <w:b/>
                <w:sz w:val="24"/>
              </w:rPr>
              <w:t>合</w:t>
            </w:r>
            <w:r>
              <w:rPr>
                <w:rFonts w:hint="eastAsia" w:ascii="仿宋" w:hAnsi="仿宋" w:eastAsia="仿宋" w:cs="仿宋"/>
                <w:b/>
                <w:sz w:val="24"/>
                <w:lang w:val="en-US" w:eastAsia="zh-CN"/>
              </w:rPr>
              <w:t xml:space="preserve">    </w:t>
            </w:r>
            <w:r>
              <w:rPr>
                <w:rFonts w:hint="eastAsia" w:ascii="仿宋" w:hAnsi="仿宋" w:eastAsia="仿宋" w:cs="仿宋"/>
                <w:b/>
                <w:sz w:val="24"/>
              </w:rPr>
              <w:t>计</w:t>
            </w:r>
          </w:p>
        </w:tc>
        <w:tc>
          <w:tcPr>
            <w:tcW w:w="1169" w:type="dxa"/>
            <w:vAlign w:val="center"/>
          </w:tcPr>
          <w:p>
            <w:pPr>
              <w:jc w:val="center"/>
              <w:rPr>
                <w:rFonts w:ascii="仿宋" w:hAnsi="仿宋" w:eastAsia="仿宋" w:cs="仿宋"/>
                <w:b/>
                <w:sz w:val="24"/>
              </w:rPr>
            </w:pPr>
            <w:r>
              <w:rPr>
                <w:rFonts w:hint="eastAsia" w:ascii="仿宋" w:hAnsi="仿宋" w:eastAsia="仿宋" w:cs="仿宋"/>
                <w:b/>
                <w:sz w:val="24"/>
                <w:lang w:val="en-US" w:eastAsia="zh-CN"/>
              </w:rPr>
              <w:t>8</w:t>
            </w:r>
            <w:r>
              <w:rPr>
                <w:rFonts w:ascii="仿宋" w:hAnsi="仿宋" w:eastAsia="仿宋" w:cs="仿宋"/>
                <w:b/>
                <w:sz w:val="24"/>
              </w:rPr>
              <w:t>.00</w:t>
            </w:r>
          </w:p>
        </w:tc>
        <w:tc>
          <w:tcPr>
            <w:tcW w:w="1170" w:type="dxa"/>
            <w:vAlign w:val="center"/>
          </w:tcPr>
          <w:p>
            <w:pPr>
              <w:jc w:val="center"/>
              <w:rPr>
                <w:rFonts w:hint="default" w:ascii="仿宋" w:hAnsi="仿宋" w:eastAsia="仿宋" w:cs="仿宋"/>
                <w:b/>
                <w:sz w:val="24"/>
                <w:lang w:val="en-US" w:eastAsia="zh-CN"/>
              </w:rPr>
            </w:pPr>
            <w:r>
              <w:rPr>
                <w:rFonts w:hint="eastAsia" w:ascii="仿宋" w:hAnsi="仿宋" w:eastAsia="仿宋" w:cs="仿宋"/>
                <w:b/>
                <w:sz w:val="24"/>
                <w:lang w:val="en-US" w:eastAsia="zh-CN"/>
              </w:rPr>
              <w:t>6.00</w:t>
            </w:r>
          </w:p>
        </w:tc>
      </w:tr>
    </w:tbl>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ascii="仿宋" w:hAnsi="仿宋" w:eastAsia="仿宋" w:cs="仿宋"/>
          <w:b/>
          <w:sz w:val="28"/>
          <w:szCs w:val="28"/>
          <w:highlight w:val="none"/>
        </w:rPr>
      </w:pPr>
      <w:bookmarkStart w:id="140" w:name="_Toc4468"/>
      <w:r>
        <w:rPr>
          <w:rFonts w:hint="eastAsia" w:ascii="仿宋" w:hAnsi="仿宋" w:eastAsia="仿宋" w:cs="仿宋"/>
          <w:b/>
          <w:sz w:val="28"/>
          <w:szCs w:val="28"/>
        </w:rPr>
        <w:t>1</w:t>
      </w:r>
      <w:r>
        <w:rPr>
          <w:rFonts w:ascii="仿宋" w:hAnsi="仿宋" w:eastAsia="仿宋" w:cs="仿宋"/>
          <w:b/>
          <w:sz w:val="28"/>
          <w:szCs w:val="28"/>
        </w:rPr>
        <w:t>.</w:t>
      </w:r>
      <w:r>
        <w:rPr>
          <w:rFonts w:hint="eastAsia" w:ascii="仿宋" w:hAnsi="仿宋" w:eastAsia="仿宋" w:cs="仿宋"/>
          <w:b/>
          <w:sz w:val="28"/>
          <w:szCs w:val="28"/>
          <w:lang w:val="en-US" w:eastAsia="zh-CN"/>
        </w:rPr>
        <w:t>项目决策</w:t>
      </w:r>
      <w:r>
        <w:rPr>
          <w:rFonts w:hint="eastAsia" w:ascii="仿宋" w:hAnsi="仿宋" w:eastAsia="仿宋" w:cs="仿宋"/>
          <w:b/>
          <w:sz w:val="28"/>
          <w:szCs w:val="28"/>
        </w:rPr>
        <w:t>，</w:t>
      </w:r>
      <w:r>
        <w:rPr>
          <w:rFonts w:ascii="仿宋" w:hAnsi="仿宋" w:eastAsia="仿宋" w:cs="仿宋"/>
          <w:b/>
          <w:sz w:val="28"/>
          <w:szCs w:val="28"/>
        </w:rPr>
        <w:t>权重</w:t>
      </w:r>
      <w:r>
        <w:rPr>
          <w:rFonts w:hint="eastAsia" w:ascii="仿宋" w:hAnsi="仿宋" w:eastAsia="仿宋" w:cs="仿宋"/>
          <w:b/>
          <w:sz w:val="28"/>
          <w:szCs w:val="28"/>
          <w:lang w:val="en-US" w:eastAsia="zh-CN"/>
        </w:rPr>
        <w:t>1</w:t>
      </w:r>
      <w:r>
        <w:rPr>
          <w:rFonts w:hint="eastAsia" w:ascii="仿宋" w:hAnsi="仿宋" w:eastAsia="仿宋" w:cs="仿宋"/>
          <w:b/>
          <w:sz w:val="28"/>
          <w:szCs w:val="28"/>
        </w:rPr>
        <w:t>分，得分</w:t>
      </w:r>
      <w:r>
        <w:rPr>
          <w:rFonts w:hint="eastAsia" w:ascii="仿宋" w:hAnsi="仿宋" w:eastAsia="仿宋" w:cs="仿宋"/>
          <w:b/>
          <w:sz w:val="28"/>
          <w:szCs w:val="28"/>
          <w:highlight w:val="none"/>
          <w:lang w:val="en-US" w:eastAsia="zh-CN"/>
        </w:rPr>
        <w:t>1</w:t>
      </w:r>
      <w:r>
        <w:rPr>
          <w:rFonts w:ascii="仿宋" w:hAnsi="仿宋" w:eastAsia="仿宋" w:cs="仿宋"/>
          <w:b/>
          <w:sz w:val="28"/>
          <w:szCs w:val="28"/>
          <w:highlight w:val="none"/>
        </w:rPr>
        <w:t>分</w:t>
      </w:r>
      <w:bookmarkEnd w:id="14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sz w:val="28"/>
          <w:szCs w:val="28"/>
          <w:lang w:val="en-US" w:eastAsia="zh-CN"/>
        </w:rPr>
      </w:pPr>
      <w:bookmarkStart w:id="141" w:name="_Toc3954"/>
      <w:r>
        <w:rPr>
          <w:rFonts w:hint="eastAsia" w:ascii="仿宋" w:hAnsi="仿宋" w:eastAsia="仿宋" w:cs="仿宋"/>
          <w:b w:val="0"/>
          <w:bCs/>
          <w:sz w:val="28"/>
          <w:szCs w:val="28"/>
          <w:lang w:val="en-US" w:eastAsia="zh-CN"/>
        </w:rPr>
        <w:t>临猗县2020年基本公卫项目主要依据国卫基层发（2020）9号《关于做好2020年基本公共卫生服务项目工作的通知》、运卫基层发（2020)60号《关于切实做好2020年基本公共卫生服务项目工作的通知》和临卫健体发（2020）128号《临猗县2020年基本公共卫生服务项目实施方案》等文件实施，项目决策依据充分、实施内容及相关实施单位职责明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本指标权重1分，得1分。</w:t>
      </w:r>
      <w:bookmarkEnd w:id="141"/>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sz w:val="28"/>
          <w:szCs w:val="28"/>
          <w:highlight w:val="none"/>
          <w:lang w:val="en-US" w:eastAsia="zh-CN"/>
        </w:rPr>
      </w:pPr>
      <w:bookmarkStart w:id="142" w:name="_Toc26205"/>
      <w:r>
        <w:rPr>
          <w:rFonts w:hint="eastAsia" w:ascii="仿宋" w:hAnsi="仿宋" w:eastAsia="仿宋" w:cs="仿宋"/>
          <w:b/>
          <w:sz w:val="28"/>
          <w:szCs w:val="28"/>
          <w:highlight w:val="none"/>
          <w:lang w:val="en-US" w:eastAsia="zh-CN"/>
        </w:rPr>
        <w:t>2.绩效目标，权重4分，得分2分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highlight w:val="none"/>
        </w:rPr>
      </w:pP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1）</w:t>
      </w:r>
      <w:r>
        <w:rPr>
          <w:rFonts w:hint="eastAsia" w:ascii="仿宋" w:hAnsi="仿宋" w:eastAsia="仿宋" w:cs="仿宋"/>
          <w:b/>
          <w:sz w:val="28"/>
          <w:szCs w:val="28"/>
          <w:highlight w:val="none"/>
        </w:rPr>
        <w:t>绩效目标合理性</w:t>
      </w:r>
      <w:bookmarkEnd w:id="142"/>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sz w:val="28"/>
          <w:szCs w:val="28"/>
          <w:highlight w:val="none"/>
          <w:lang w:val="en-US" w:eastAsia="zh-CN"/>
        </w:rPr>
      </w:pPr>
      <w:bookmarkStart w:id="143" w:name="_Toc20057"/>
      <w:r>
        <w:rPr>
          <w:rFonts w:hint="eastAsia" w:ascii="仿宋" w:hAnsi="仿宋" w:eastAsia="仿宋" w:cs="仿宋"/>
          <w:b w:val="0"/>
          <w:bCs/>
          <w:sz w:val="28"/>
          <w:szCs w:val="28"/>
          <w:highlight w:val="none"/>
          <w:lang w:val="en-US" w:eastAsia="zh-CN"/>
        </w:rPr>
        <w:t>该项目总体及年度绩效目标</w:t>
      </w:r>
      <w:bookmarkEnd w:id="143"/>
      <w:r>
        <w:rPr>
          <w:rFonts w:hint="eastAsia" w:ascii="仿宋" w:hAnsi="仿宋" w:eastAsia="仿宋" w:cs="仿宋"/>
          <w:b w:val="0"/>
          <w:bCs/>
          <w:sz w:val="28"/>
          <w:szCs w:val="28"/>
          <w:highlight w:val="none"/>
          <w:lang w:val="en-US" w:eastAsia="zh-CN"/>
        </w:rPr>
        <w:t>基本明确，项目预期产出及效果与国家基本公卫项目实施内容、相关要求基本相关，</w:t>
      </w:r>
      <w:bookmarkStart w:id="144" w:name="_Toc14430"/>
      <w:r>
        <w:rPr>
          <w:rFonts w:hint="eastAsia" w:ascii="仿宋" w:hAnsi="仿宋" w:eastAsia="仿宋" w:cs="仿宋"/>
          <w:b w:val="0"/>
          <w:bCs/>
          <w:sz w:val="28"/>
          <w:szCs w:val="28"/>
          <w:highlight w:val="none"/>
        </w:rPr>
        <w:t>该项目设立绩效目标符合专项资金支持范围</w:t>
      </w:r>
      <w:r>
        <w:rPr>
          <w:rFonts w:hint="eastAsia" w:ascii="仿宋" w:hAnsi="仿宋" w:eastAsia="仿宋" w:cs="仿宋"/>
          <w:b w:val="0"/>
          <w:bCs/>
          <w:sz w:val="28"/>
          <w:szCs w:val="28"/>
          <w:highlight w:val="none"/>
          <w:lang w:eastAsia="zh-CN"/>
        </w:rPr>
        <w:t>，</w:t>
      </w:r>
      <w:r>
        <w:rPr>
          <w:rFonts w:hint="eastAsia" w:ascii="仿宋" w:hAnsi="仿宋" w:eastAsia="仿宋" w:cs="仿宋"/>
          <w:b w:val="0"/>
          <w:bCs/>
          <w:sz w:val="28"/>
          <w:szCs w:val="28"/>
          <w:highlight w:val="none"/>
          <w:lang w:val="en-US" w:eastAsia="zh-CN"/>
        </w:rPr>
        <w:t>但</w:t>
      </w:r>
      <w:r>
        <w:rPr>
          <w:rFonts w:hint="eastAsia" w:ascii="仿宋" w:hAnsi="仿宋" w:eastAsia="仿宋" w:cs="仿宋"/>
          <w:b w:val="0"/>
          <w:bCs/>
          <w:sz w:val="28"/>
          <w:szCs w:val="28"/>
          <w:lang w:val="en-US" w:eastAsia="zh-CN"/>
        </w:rPr>
        <w:t>《临猗县2020年基本公共卫生服务项目实施方案》中的绩效目标未包括2019年新划入基本公卫的项目，修正后的绩效目标申报表仍未能全面反映2020年基本公卫服务项目的全部内容。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sz w:val="28"/>
          <w:szCs w:val="28"/>
          <w:highlight w:val="none"/>
        </w:rPr>
      </w:pPr>
      <w:r>
        <w:rPr>
          <w:rFonts w:hint="eastAsia" w:ascii="仿宋" w:hAnsi="仿宋" w:eastAsia="仿宋" w:cs="仿宋"/>
          <w:b w:val="0"/>
          <w:bCs/>
          <w:sz w:val="28"/>
          <w:szCs w:val="28"/>
          <w:highlight w:val="none"/>
        </w:rPr>
        <w:t>本指标权重</w:t>
      </w:r>
      <w:r>
        <w:rPr>
          <w:rFonts w:hint="eastAsia" w:ascii="仿宋" w:hAnsi="仿宋" w:eastAsia="仿宋" w:cs="仿宋"/>
          <w:b w:val="0"/>
          <w:bCs/>
          <w:sz w:val="28"/>
          <w:szCs w:val="28"/>
          <w:highlight w:val="none"/>
          <w:lang w:val="en-US" w:eastAsia="zh-CN"/>
        </w:rPr>
        <w:t>2</w:t>
      </w:r>
      <w:r>
        <w:rPr>
          <w:rFonts w:hint="eastAsia" w:ascii="仿宋" w:hAnsi="仿宋" w:eastAsia="仿宋" w:cs="仿宋"/>
          <w:b w:val="0"/>
          <w:bCs/>
          <w:sz w:val="28"/>
          <w:szCs w:val="28"/>
          <w:highlight w:val="none"/>
        </w:rPr>
        <w:t>分，</w:t>
      </w:r>
      <w:r>
        <w:rPr>
          <w:rFonts w:hint="eastAsia" w:ascii="仿宋" w:hAnsi="仿宋" w:eastAsia="仿宋" w:cs="仿宋"/>
          <w:b w:val="0"/>
          <w:bCs/>
          <w:sz w:val="28"/>
          <w:szCs w:val="28"/>
          <w:highlight w:val="none"/>
          <w:lang w:val="en-US" w:eastAsia="zh-CN"/>
        </w:rPr>
        <w:t>依据项目绩效目标设定的实际情况扣去1分，</w:t>
      </w:r>
      <w:r>
        <w:rPr>
          <w:rFonts w:hint="eastAsia" w:ascii="仿宋" w:hAnsi="仿宋" w:eastAsia="仿宋" w:cs="仿宋"/>
          <w:b w:val="0"/>
          <w:bCs/>
          <w:sz w:val="28"/>
          <w:szCs w:val="28"/>
          <w:highlight w:val="none"/>
        </w:rPr>
        <w:t>得分</w:t>
      </w:r>
      <w:r>
        <w:rPr>
          <w:rFonts w:hint="eastAsia" w:ascii="仿宋" w:hAnsi="仿宋" w:eastAsia="仿宋" w:cs="仿宋"/>
          <w:b w:val="0"/>
          <w:bCs/>
          <w:sz w:val="28"/>
          <w:szCs w:val="28"/>
          <w:highlight w:val="none"/>
          <w:lang w:val="en-US" w:eastAsia="zh-CN"/>
        </w:rPr>
        <w:t>1</w:t>
      </w:r>
      <w:r>
        <w:rPr>
          <w:rFonts w:hint="eastAsia" w:ascii="仿宋" w:hAnsi="仿宋" w:eastAsia="仿宋" w:cs="仿宋"/>
          <w:b w:val="0"/>
          <w:bCs/>
          <w:sz w:val="28"/>
          <w:szCs w:val="28"/>
          <w:highlight w:val="none"/>
        </w:rPr>
        <w:t>分。</w:t>
      </w:r>
      <w:bookmarkEnd w:id="144"/>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highlight w:val="none"/>
          <w:lang w:val="en-US" w:eastAsia="zh-CN"/>
        </w:rPr>
      </w:pPr>
      <w:bookmarkStart w:id="145" w:name="_Toc7118"/>
      <w:r>
        <w:rPr>
          <w:rFonts w:hint="eastAsia" w:ascii="仿宋" w:hAnsi="仿宋" w:eastAsia="仿宋" w:cs="仿宋"/>
          <w:b/>
          <w:sz w:val="28"/>
          <w:szCs w:val="28"/>
          <w:highlight w:val="none"/>
          <w:lang w:val="en-US" w:eastAsia="zh-CN"/>
        </w:rPr>
        <w:t>（2）绩效指标明确性</w:t>
      </w:r>
      <w:bookmarkEnd w:id="14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sz w:val="28"/>
          <w:szCs w:val="28"/>
          <w:lang w:val="en-US" w:eastAsia="zh-CN"/>
        </w:rPr>
      </w:pPr>
      <w:bookmarkStart w:id="146" w:name="_Toc14004"/>
      <w:r>
        <w:rPr>
          <w:rFonts w:hint="eastAsia" w:ascii="仿宋" w:hAnsi="仿宋" w:eastAsia="仿宋" w:cs="仿宋"/>
          <w:b w:val="0"/>
          <w:bCs/>
          <w:sz w:val="28"/>
          <w:szCs w:val="28"/>
          <w:lang w:val="en-US" w:eastAsia="zh-CN"/>
        </w:rPr>
        <w:t>依据2020年的绩效目标和基本公共卫生的服务内容，将绩效目标细化分解为了12个具体的绩效指标，但部分指标未能明确具体考核期间和计算办法，如：新生儿访视率、产妇访视率中用到的活产人数因数据截止日期不同，报送至妇幼部门的数字与报送至卫体局的数字不一致；老年人健康管理率中使用的“年内辖区内65岁及上常住居民”，部分单位使用建档数、部分单位使用摸底数，指标值计算标准未能明确、统一。</w:t>
      </w:r>
    </w:p>
    <w:p>
      <w:pPr>
        <w:pStyle w:val="2"/>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default"/>
          <w:lang w:val="en-US" w:eastAsia="zh-CN"/>
        </w:rPr>
      </w:pPr>
      <w:r>
        <w:rPr>
          <w:rFonts w:hint="eastAsia" w:ascii="仿宋" w:hAnsi="仿宋" w:eastAsia="仿宋" w:cs="仿宋"/>
          <w:b w:val="0"/>
          <w:bCs/>
          <w:sz w:val="28"/>
          <w:szCs w:val="28"/>
          <w:lang w:val="en-US" w:eastAsia="zh-CN"/>
        </w:rPr>
        <w:t>部分指标计划完成率设置过高，未考虑项目的具体情况，如：中医药健康管理服务率，中央资金要求达到大于等于44%，运城市资金要求大于等于55%，但临猗县要求老年人达到大于等于80%， 儿童要求达到大于等于70%，但各基层机构配置的基本公卫中医药管理人员基本是1 个人，按规范要求完成年度中医药管理服务的难度很大。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本指标权重2分，依据项目实际情况扣去1分，得分1分。</w:t>
      </w:r>
      <w:bookmarkEnd w:id="146"/>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3.资金投入，权重3分，得分3分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highlight w:val="none"/>
          <w:lang w:val="en-US" w:eastAsia="zh-CN"/>
        </w:rPr>
      </w:pPr>
      <w:bookmarkStart w:id="147" w:name="_Toc22870"/>
      <w:r>
        <w:rPr>
          <w:rFonts w:hint="eastAsia" w:ascii="仿宋" w:hAnsi="仿宋" w:eastAsia="仿宋" w:cs="仿宋"/>
          <w:b/>
          <w:sz w:val="28"/>
          <w:szCs w:val="28"/>
          <w:highlight w:val="none"/>
          <w:lang w:val="en-US" w:eastAsia="zh-CN"/>
        </w:rPr>
        <w:t>（1）预算编制科学性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Cs/>
          <w:sz w:val="28"/>
          <w:szCs w:val="28"/>
          <w:lang w:val="en-US" w:eastAsia="zh-CN"/>
        </w:rPr>
      </w:pPr>
      <w:r>
        <w:rPr>
          <w:rFonts w:hint="eastAsia" w:ascii="仿宋" w:hAnsi="仿宋" w:eastAsia="仿宋" w:cs="仿宋"/>
          <w:bCs/>
          <w:sz w:val="28"/>
          <w:szCs w:val="28"/>
          <w:lang w:eastAsia="zh-CN" w:bidi="ar"/>
        </w:rPr>
        <w:t>根据</w:t>
      </w:r>
      <w:r>
        <w:rPr>
          <w:rFonts w:hint="eastAsia" w:ascii="仿宋" w:hAnsi="仿宋" w:eastAsia="仿宋" w:cs="仿宋"/>
          <w:bCs/>
          <w:sz w:val="28"/>
          <w:szCs w:val="28"/>
          <w:lang w:val="en-US" w:eastAsia="zh-CN" w:bidi="ar"/>
        </w:rPr>
        <w:t>历年基本公共卫生服务项目人均补助经费增长情况（年人均增长5元），临猗县卫生健康和体育局以</w:t>
      </w:r>
      <w:r>
        <w:rPr>
          <w:rFonts w:hint="eastAsia" w:ascii="仿宋" w:hAnsi="仿宋" w:eastAsia="仿宋" w:cs="仿宋"/>
          <w:bCs/>
          <w:sz w:val="28"/>
          <w:szCs w:val="28"/>
          <w:lang w:val="en-US" w:eastAsia="zh-CN"/>
        </w:rPr>
        <w:t>临猗县2018年使用的常住人口数595476人和人均补助经费74元为依据，申请项目预算资金。</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hint="default" w:ascii="仿宋" w:hAnsi="仿宋" w:eastAsia="仿宋" w:cs="仿宋"/>
          <w:b w:val="0"/>
          <w:bCs/>
          <w:sz w:val="28"/>
          <w:szCs w:val="28"/>
          <w:highlight w:val="none"/>
          <w:lang w:val="en-US" w:eastAsia="zh-CN"/>
        </w:rPr>
      </w:pPr>
      <w:r>
        <w:rPr>
          <w:rFonts w:hint="eastAsia" w:ascii="仿宋" w:hAnsi="仿宋" w:eastAsia="仿宋" w:cs="仿宋"/>
          <w:bCs/>
          <w:sz w:val="28"/>
          <w:szCs w:val="28"/>
          <w:highlight w:val="none"/>
          <w:lang w:val="en-US" w:eastAsia="zh-CN"/>
        </w:rPr>
        <w:t>预算确定的资金量与2020年度工作任务可以匹配</w:t>
      </w:r>
      <w:r>
        <w:rPr>
          <w:rFonts w:hint="eastAsia" w:ascii="仿宋" w:hAnsi="仿宋" w:eastAsia="仿宋" w:cs="仿宋"/>
          <w:bCs/>
          <w:sz w:val="28"/>
          <w:szCs w:val="28"/>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本指标权重1分，得分1分。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仿宋" w:hAnsi="仿宋" w:eastAsia="仿宋" w:cs="仿宋"/>
          <w:b/>
          <w:bCs w:val="0"/>
          <w:kern w:val="2"/>
          <w:sz w:val="28"/>
          <w:szCs w:val="28"/>
          <w:lang w:val="en-US" w:eastAsia="zh-CN" w:bidi="ar-SA"/>
        </w:rPr>
      </w:pPr>
      <w:r>
        <w:rPr>
          <w:rFonts w:hint="eastAsia" w:ascii="仿宋" w:hAnsi="仿宋" w:eastAsia="仿宋" w:cs="仿宋"/>
          <w:b w:val="0"/>
          <w:bCs/>
          <w:kern w:val="2"/>
          <w:sz w:val="28"/>
          <w:szCs w:val="28"/>
          <w:lang w:val="en-US" w:eastAsia="zh-CN" w:bidi="ar-SA"/>
        </w:rPr>
        <w:t xml:space="preserve">    </w:t>
      </w:r>
      <w:r>
        <w:rPr>
          <w:rFonts w:hint="eastAsia" w:ascii="仿宋" w:hAnsi="仿宋" w:eastAsia="仿宋" w:cs="仿宋"/>
          <w:b/>
          <w:bCs w:val="0"/>
          <w:kern w:val="2"/>
          <w:sz w:val="28"/>
          <w:szCs w:val="28"/>
          <w:lang w:val="en-US" w:eastAsia="zh-CN" w:bidi="ar-SA"/>
        </w:rPr>
        <w:t>（2）</w:t>
      </w:r>
      <w:r>
        <w:rPr>
          <w:rFonts w:hint="eastAsia" w:ascii="仿宋" w:hAnsi="仿宋" w:eastAsia="仿宋" w:cs="仿宋"/>
          <w:b/>
          <w:sz w:val="28"/>
          <w:szCs w:val="28"/>
          <w:highlight w:val="none"/>
          <w:lang w:val="en-US" w:eastAsia="zh-CN"/>
        </w:rPr>
        <w:t>资金分配合理性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val="0"/>
          <w:bCs/>
          <w:sz w:val="28"/>
          <w:szCs w:val="28"/>
          <w:lang w:val="en-US" w:eastAsia="zh-CN"/>
        </w:rPr>
      </w:pPr>
      <w:r>
        <w:rPr>
          <w:rFonts w:hint="eastAsia" w:ascii="仿宋" w:hAnsi="仿宋" w:eastAsia="仿宋" w:cs="仿宋"/>
          <w:b/>
          <w:sz w:val="28"/>
          <w:szCs w:val="28"/>
          <w:lang w:val="en-US" w:eastAsia="zh-CN"/>
        </w:rPr>
        <w:t xml:space="preserve"> </w:t>
      </w:r>
      <w:r>
        <w:rPr>
          <w:rFonts w:hint="eastAsia" w:ascii="仿宋" w:hAnsi="仿宋" w:eastAsia="仿宋" w:cs="仿宋"/>
          <w:b w:val="0"/>
          <w:bCs/>
          <w:sz w:val="28"/>
          <w:szCs w:val="28"/>
          <w:lang w:val="en-US" w:eastAsia="zh-CN"/>
        </w:rPr>
        <w:t>临猗县2020年基本公卫项目资金分配采取“先预拨后结算”的办法实施，项目前三季度资金采取预拨的方式，年终组织专家开展基本公卫项目绩效评价，对各单位工作量进行核查，再依据《临猗县2020年基本公共卫生服务项目实施方案》、《关于印发基本公共卫生服和项目成本测算标准的通知》和《基本公共卫生服务项目补助资金管理办法》的相关规定进行资金最终分配，资金分配依据充分，分配额度合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本指标权重2分，得分2分。</w:t>
      </w:r>
    </w:p>
    <w:bookmarkEnd w:id="147"/>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ascii="仿宋" w:hAnsi="仿宋" w:eastAsia="仿宋" w:cs="仿宋"/>
          <w:b/>
          <w:sz w:val="28"/>
          <w:szCs w:val="28"/>
        </w:rPr>
      </w:pPr>
      <w:bookmarkStart w:id="148" w:name="_Toc9198_WPSOffice_Level2"/>
      <w:bookmarkStart w:id="149" w:name="_Toc26873_WPSOffice_Level2"/>
      <w:bookmarkStart w:id="150" w:name="_Toc23760"/>
      <w:bookmarkStart w:id="151" w:name="_Toc25524_WPSOffice_Level2"/>
      <w:bookmarkStart w:id="152" w:name="_Toc14818_WPSOffice_Level2"/>
      <w:bookmarkStart w:id="153" w:name="_Toc19204_WPSOffice_Level2"/>
      <w:bookmarkStart w:id="154" w:name="_Toc28114_WPSOffice_Level2"/>
      <w:bookmarkStart w:id="155" w:name="_Toc32103_WPSOffice_Level2"/>
      <w:r>
        <w:rPr>
          <w:rFonts w:hint="eastAsia" w:ascii="仿宋" w:hAnsi="仿宋" w:eastAsia="仿宋" w:cs="仿宋"/>
          <w:b/>
          <w:sz w:val="28"/>
          <w:szCs w:val="28"/>
        </w:rPr>
        <w:t>（</w:t>
      </w:r>
      <w:r>
        <w:rPr>
          <w:rFonts w:hint="eastAsia" w:ascii="仿宋" w:hAnsi="仿宋" w:eastAsia="仿宋" w:cs="仿宋"/>
          <w:b/>
          <w:sz w:val="28"/>
          <w:szCs w:val="28"/>
          <w:lang w:val="en-US" w:eastAsia="zh-CN"/>
        </w:rPr>
        <w:t>二</w:t>
      </w:r>
      <w:r>
        <w:rPr>
          <w:rFonts w:hint="eastAsia" w:ascii="仿宋" w:hAnsi="仿宋" w:eastAsia="仿宋" w:cs="仿宋"/>
          <w:b/>
          <w:sz w:val="28"/>
          <w:szCs w:val="28"/>
        </w:rPr>
        <w:t>）过程情况分析</w:t>
      </w:r>
      <w:bookmarkEnd w:id="148"/>
      <w:bookmarkEnd w:id="149"/>
      <w:bookmarkEnd w:id="150"/>
      <w:bookmarkEnd w:id="151"/>
      <w:bookmarkEnd w:id="152"/>
      <w:bookmarkEnd w:id="153"/>
      <w:bookmarkEnd w:id="154"/>
      <w:bookmarkEnd w:id="15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ascii="仿宋" w:hAnsi="仿宋" w:eastAsia="仿宋" w:cs="仿宋"/>
          <w:sz w:val="28"/>
          <w:szCs w:val="28"/>
          <w:highlight w:val="none"/>
        </w:rPr>
      </w:pPr>
      <w:bookmarkStart w:id="156" w:name="_Toc12551"/>
      <w:r>
        <w:rPr>
          <w:rFonts w:hint="eastAsia" w:ascii="仿宋" w:hAnsi="仿宋" w:eastAsia="仿宋" w:cs="仿宋"/>
          <w:sz w:val="28"/>
          <w:szCs w:val="28"/>
        </w:rPr>
        <w:t>过程情况</w:t>
      </w:r>
      <w:r>
        <w:rPr>
          <w:rFonts w:ascii="仿宋" w:hAnsi="仿宋" w:eastAsia="仿宋" w:cs="仿宋"/>
          <w:sz w:val="28"/>
          <w:szCs w:val="28"/>
        </w:rPr>
        <w:t>分别从</w:t>
      </w:r>
      <w:r>
        <w:rPr>
          <w:rFonts w:hint="eastAsia" w:ascii="仿宋" w:hAnsi="仿宋" w:eastAsia="仿宋" w:cs="仿宋"/>
          <w:sz w:val="28"/>
          <w:szCs w:val="28"/>
          <w:lang w:val="en-US" w:eastAsia="zh-CN"/>
        </w:rPr>
        <w:t>资金</w:t>
      </w:r>
      <w:r>
        <w:rPr>
          <w:rFonts w:hint="eastAsia" w:ascii="仿宋" w:hAnsi="仿宋" w:eastAsia="仿宋" w:cs="仿宋"/>
          <w:sz w:val="28"/>
          <w:szCs w:val="28"/>
        </w:rPr>
        <w:t>管理和</w:t>
      </w:r>
      <w:r>
        <w:rPr>
          <w:rFonts w:hint="eastAsia" w:ascii="仿宋" w:hAnsi="仿宋" w:eastAsia="仿宋" w:cs="仿宋"/>
          <w:sz w:val="28"/>
          <w:szCs w:val="28"/>
          <w:lang w:val="en-US" w:eastAsia="zh-CN"/>
        </w:rPr>
        <w:t>组织实施</w:t>
      </w:r>
      <w:r>
        <w:rPr>
          <w:rFonts w:hint="eastAsia" w:ascii="仿宋" w:hAnsi="仿宋" w:eastAsia="仿宋" w:cs="仿宋"/>
          <w:sz w:val="28"/>
          <w:szCs w:val="28"/>
        </w:rPr>
        <w:t>两个方面进行分析，共设置两个二级指标</w:t>
      </w:r>
      <w:r>
        <w:rPr>
          <w:rFonts w:hint="eastAsia" w:ascii="仿宋" w:hAnsi="仿宋" w:eastAsia="仿宋" w:cs="仿宋"/>
          <w:sz w:val="28"/>
          <w:szCs w:val="28"/>
          <w:lang w:eastAsia="zh-CN"/>
        </w:rPr>
        <w:t>七</w:t>
      </w:r>
      <w:r>
        <w:rPr>
          <w:rFonts w:hint="eastAsia" w:ascii="仿宋" w:hAnsi="仿宋" w:eastAsia="仿宋" w:cs="仿宋"/>
          <w:sz w:val="28"/>
          <w:szCs w:val="28"/>
        </w:rPr>
        <w:t>个三级指标。过程类指标分值</w:t>
      </w:r>
      <w:r>
        <w:rPr>
          <w:rFonts w:hint="eastAsia" w:ascii="仿宋" w:hAnsi="仿宋" w:eastAsia="仿宋" w:cs="仿宋"/>
          <w:sz w:val="28"/>
          <w:szCs w:val="28"/>
          <w:lang w:val="en-US" w:eastAsia="zh-CN"/>
        </w:rPr>
        <w:t>24</w:t>
      </w:r>
      <w:r>
        <w:rPr>
          <w:rFonts w:hint="eastAsia" w:ascii="仿宋" w:hAnsi="仿宋" w:eastAsia="仿宋" w:cs="仿宋"/>
          <w:sz w:val="28"/>
          <w:szCs w:val="28"/>
        </w:rPr>
        <w:t>分</w:t>
      </w:r>
      <w:r>
        <w:rPr>
          <w:rFonts w:hint="eastAsia" w:ascii="仿宋" w:hAnsi="仿宋" w:eastAsia="仿宋" w:cs="仿宋"/>
          <w:sz w:val="28"/>
          <w:szCs w:val="28"/>
          <w:highlight w:val="none"/>
        </w:rPr>
        <w:t>，实际得分</w:t>
      </w:r>
      <w:r>
        <w:rPr>
          <w:rFonts w:hint="eastAsia" w:ascii="仿宋" w:hAnsi="仿宋" w:eastAsia="仿宋" w:cs="仿宋"/>
          <w:sz w:val="28"/>
          <w:szCs w:val="28"/>
          <w:highlight w:val="none"/>
          <w:lang w:val="en-US" w:eastAsia="zh-CN"/>
        </w:rPr>
        <w:t>17.58</w:t>
      </w:r>
      <w:r>
        <w:rPr>
          <w:rFonts w:hint="eastAsia" w:ascii="仿宋" w:hAnsi="仿宋" w:eastAsia="仿宋" w:cs="仿宋"/>
          <w:sz w:val="28"/>
          <w:szCs w:val="28"/>
          <w:highlight w:val="none"/>
        </w:rPr>
        <w:t>分，得分率</w:t>
      </w:r>
      <w:r>
        <w:rPr>
          <w:rFonts w:hint="eastAsia" w:ascii="仿宋" w:hAnsi="仿宋" w:eastAsia="仿宋" w:cs="仿宋"/>
          <w:sz w:val="28"/>
          <w:szCs w:val="28"/>
          <w:highlight w:val="none"/>
          <w:lang w:val="en-US" w:eastAsia="zh-CN"/>
        </w:rPr>
        <w:t>73.25</w:t>
      </w:r>
      <w:r>
        <w:rPr>
          <w:rFonts w:ascii="仿宋" w:hAnsi="仿宋" w:eastAsia="仿宋" w:cs="仿宋"/>
          <w:sz w:val="28"/>
          <w:szCs w:val="28"/>
          <w:highlight w:val="none"/>
        </w:rPr>
        <w:t>%</w:t>
      </w:r>
      <w:r>
        <w:rPr>
          <w:rFonts w:hint="eastAsia" w:ascii="仿宋" w:hAnsi="仿宋" w:eastAsia="仿宋" w:cs="仿宋"/>
          <w:sz w:val="28"/>
          <w:szCs w:val="28"/>
          <w:highlight w:val="none"/>
        </w:rPr>
        <w:t>。各分项指标得分情况如下表</w:t>
      </w:r>
      <w:r>
        <w:rPr>
          <w:rFonts w:ascii="仿宋" w:hAnsi="仿宋" w:eastAsia="仿宋" w:cs="仿宋"/>
          <w:sz w:val="28"/>
          <w:szCs w:val="28"/>
          <w:highlight w:val="none"/>
        </w:rPr>
        <w:t>所示</w:t>
      </w:r>
      <w:r>
        <w:rPr>
          <w:rFonts w:hint="eastAsia" w:ascii="仿宋" w:hAnsi="仿宋" w:eastAsia="仿宋" w:cs="仿宋"/>
          <w:sz w:val="28"/>
          <w:szCs w:val="28"/>
          <w:highlight w:val="none"/>
        </w:rPr>
        <w:t>：</w:t>
      </w:r>
      <w:bookmarkEnd w:id="156"/>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ascii="仿宋" w:hAnsi="仿宋" w:eastAsia="仿宋" w:cs="仿宋"/>
          <w:b/>
          <w:sz w:val="28"/>
          <w:szCs w:val="28"/>
        </w:rPr>
      </w:pPr>
      <w:bookmarkStart w:id="157" w:name="_Toc26043_WPSOffice_Level2"/>
      <w:bookmarkStart w:id="158" w:name="_Toc30298_WPSOffice_Level2"/>
      <w:bookmarkStart w:id="159" w:name="_Toc19451"/>
      <w:bookmarkStart w:id="160" w:name="_Toc10374_WPSOffice_Level2"/>
      <w:bookmarkStart w:id="161" w:name="_Toc224_WPSOffice_Level2"/>
      <w:bookmarkStart w:id="162" w:name="_Toc31868_WPSOffice_Level2"/>
      <w:bookmarkStart w:id="163" w:name="_Toc5760_WPSOffice_Level2"/>
      <w:bookmarkStart w:id="164" w:name="_Toc30281_WPSOffice_Level2"/>
      <w:bookmarkStart w:id="165" w:name="_Toc29290_WPSOffice_Level2"/>
      <w:bookmarkStart w:id="166" w:name="_Toc14013_WPSOffice_Level2"/>
      <w:r>
        <w:rPr>
          <w:rFonts w:hint="eastAsia" w:ascii="仿宋" w:hAnsi="仿宋" w:eastAsia="仿宋" w:cs="仿宋"/>
          <w:b/>
          <w:sz w:val="28"/>
          <w:szCs w:val="28"/>
        </w:rPr>
        <w:t>表</w:t>
      </w:r>
      <w:r>
        <w:rPr>
          <w:rFonts w:hint="eastAsia" w:ascii="仿宋" w:hAnsi="仿宋" w:eastAsia="仿宋" w:cs="仿宋"/>
          <w:b/>
          <w:sz w:val="28"/>
          <w:szCs w:val="28"/>
          <w:lang w:val="en-US" w:eastAsia="zh-CN"/>
        </w:rPr>
        <w:t>3-3</w:t>
      </w:r>
      <w:r>
        <w:rPr>
          <w:rFonts w:ascii="仿宋" w:hAnsi="仿宋" w:eastAsia="仿宋" w:cs="仿宋"/>
          <w:b/>
          <w:sz w:val="28"/>
          <w:szCs w:val="28"/>
        </w:rPr>
        <w:t xml:space="preserve"> </w:t>
      </w:r>
      <w:r>
        <w:rPr>
          <w:rFonts w:hint="eastAsia" w:ascii="仿宋" w:hAnsi="仿宋" w:eastAsia="仿宋" w:cs="仿宋"/>
          <w:b/>
          <w:sz w:val="28"/>
          <w:szCs w:val="28"/>
        </w:rPr>
        <w:t>过程类指标得分情况</w:t>
      </w:r>
      <w:bookmarkEnd w:id="157"/>
      <w:bookmarkEnd w:id="158"/>
      <w:bookmarkEnd w:id="159"/>
      <w:bookmarkEnd w:id="160"/>
      <w:bookmarkEnd w:id="161"/>
      <w:bookmarkEnd w:id="162"/>
      <w:bookmarkEnd w:id="163"/>
      <w:bookmarkEnd w:id="164"/>
      <w:bookmarkEnd w:id="165"/>
      <w:bookmarkEnd w:id="166"/>
    </w:p>
    <w:tbl>
      <w:tblPr>
        <w:tblStyle w:val="15"/>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4073"/>
        <w:gridCol w:w="1198"/>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27" w:type="dxa"/>
            <w:shd w:val="clear" w:color="auto" w:fill="BEBEBE" w:themeFill="background1" w:themeFillShade="BF"/>
            <w:vAlign w:val="center"/>
          </w:tcPr>
          <w:p>
            <w:pPr>
              <w:jc w:val="center"/>
              <w:rPr>
                <w:rFonts w:ascii="仿宋" w:hAnsi="仿宋" w:eastAsia="仿宋" w:cs="仿宋"/>
                <w:b/>
                <w:bCs/>
                <w:sz w:val="24"/>
              </w:rPr>
            </w:pPr>
            <w:r>
              <w:rPr>
                <w:rFonts w:hint="eastAsia" w:ascii="仿宋" w:hAnsi="仿宋" w:eastAsia="仿宋" w:cs="仿宋"/>
                <w:b/>
                <w:bCs/>
                <w:sz w:val="24"/>
              </w:rPr>
              <w:t>二级指标</w:t>
            </w:r>
          </w:p>
        </w:tc>
        <w:tc>
          <w:tcPr>
            <w:tcW w:w="4073" w:type="dxa"/>
            <w:shd w:val="clear" w:color="auto" w:fill="BEBEBE" w:themeFill="background1" w:themeFillShade="BF"/>
            <w:vAlign w:val="center"/>
          </w:tcPr>
          <w:p>
            <w:pPr>
              <w:jc w:val="center"/>
              <w:rPr>
                <w:rFonts w:ascii="仿宋" w:hAnsi="仿宋" w:eastAsia="仿宋" w:cs="仿宋"/>
                <w:b/>
                <w:bCs/>
                <w:sz w:val="24"/>
              </w:rPr>
            </w:pPr>
            <w:r>
              <w:rPr>
                <w:rFonts w:hint="eastAsia" w:ascii="仿宋" w:hAnsi="仿宋" w:eastAsia="仿宋" w:cs="仿宋"/>
                <w:b/>
                <w:bCs/>
                <w:sz w:val="24"/>
              </w:rPr>
              <w:t>三级指标</w:t>
            </w:r>
          </w:p>
        </w:tc>
        <w:tc>
          <w:tcPr>
            <w:tcW w:w="1198" w:type="dxa"/>
            <w:shd w:val="clear" w:color="auto" w:fill="BEBEBE" w:themeFill="background1" w:themeFillShade="BF"/>
            <w:vAlign w:val="center"/>
          </w:tcPr>
          <w:p>
            <w:pPr>
              <w:jc w:val="center"/>
              <w:rPr>
                <w:rFonts w:ascii="仿宋" w:hAnsi="仿宋" w:eastAsia="仿宋" w:cs="仿宋"/>
                <w:b/>
                <w:bCs/>
                <w:sz w:val="24"/>
              </w:rPr>
            </w:pPr>
            <w:r>
              <w:rPr>
                <w:rFonts w:hint="eastAsia" w:ascii="仿宋" w:hAnsi="仿宋" w:eastAsia="仿宋" w:cs="仿宋"/>
                <w:b/>
                <w:bCs/>
                <w:sz w:val="24"/>
              </w:rPr>
              <w:t>权重</w:t>
            </w:r>
          </w:p>
        </w:tc>
        <w:tc>
          <w:tcPr>
            <w:tcW w:w="1198" w:type="dxa"/>
            <w:shd w:val="clear" w:color="auto" w:fill="BEBEBE" w:themeFill="background1" w:themeFillShade="BF"/>
            <w:vAlign w:val="center"/>
          </w:tcPr>
          <w:p>
            <w:pPr>
              <w:jc w:val="center"/>
              <w:rPr>
                <w:rFonts w:ascii="仿宋" w:hAnsi="仿宋" w:eastAsia="仿宋" w:cs="仿宋"/>
                <w:b/>
                <w:bCs/>
                <w:sz w:val="24"/>
              </w:rPr>
            </w:pPr>
            <w:r>
              <w:rPr>
                <w:rFonts w:hint="eastAsia" w:ascii="仿宋" w:hAnsi="仿宋" w:eastAsia="仿宋" w:cs="仿宋"/>
                <w:b/>
                <w:bCs/>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restart"/>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资金管理</w:t>
            </w:r>
          </w:p>
        </w:tc>
        <w:tc>
          <w:tcPr>
            <w:tcW w:w="4073" w:type="dxa"/>
            <w:vAlign w:val="center"/>
          </w:tcPr>
          <w:p>
            <w:pPr>
              <w:rPr>
                <w:rFonts w:hint="default" w:ascii="仿宋" w:hAnsi="仿宋" w:eastAsia="仿宋" w:cs="仿宋"/>
                <w:sz w:val="24"/>
                <w:lang w:val="en-US" w:eastAsia="zh-CN"/>
              </w:rPr>
            </w:pPr>
            <w:r>
              <w:rPr>
                <w:rFonts w:hint="eastAsia" w:ascii="仿宋" w:hAnsi="仿宋" w:eastAsia="仿宋" w:cs="仿宋"/>
                <w:sz w:val="24"/>
                <w:lang w:val="en-US" w:eastAsia="zh-CN"/>
              </w:rPr>
              <w:t>资金到位率</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2.00</w:t>
            </w:r>
          </w:p>
        </w:tc>
        <w:tc>
          <w:tcPr>
            <w:tcW w:w="1198" w:type="dxa"/>
            <w:vAlign w:val="center"/>
          </w:tcPr>
          <w:p>
            <w:pPr>
              <w:jc w:val="center"/>
              <w:rPr>
                <w:rFonts w:hint="eastAsia" w:ascii="仿宋" w:hAnsi="仿宋" w:eastAsia="仿宋" w:cs="仿宋"/>
                <w:sz w:val="24"/>
                <w:lang w:val="en-US" w:eastAsia="zh-CN"/>
              </w:rPr>
            </w:pPr>
            <w:r>
              <w:rPr>
                <w:rFonts w:hint="eastAsia" w:ascii="仿宋" w:hAnsi="仿宋" w:eastAsia="仿宋" w:cs="仿宋"/>
                <w:sz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continue"/>
            <w:vAlign w:val="center"/>
          </w:tcPr>
          <w:p>
            <w:pPr>
              <w:rPr>
                <w:rFonts w:hint="eastAsia" w:ascii="仿宋" w:hAnsi="仿宋" w:eastAsia="仿宋" w:cs="仿宋"/>
                <w:sz w:val="24"/>
                <w:lang w:val="en-US" w:eastAsia="zh-CN"/>
              </w:rPr>
            </w:pPr>
          </w:p>
        </w:tc>
        <w:tc>
          <w:tcPr>
            <w:tcW w:w="4073" w:type="dxa"/>
            <w:vAlign w:val="center"/>
          </w:tcPr>
          <w:p>
            <w:pPr>
              <w:rPr>
                <w:rFonts w:hint="default" w:ascii="仿宋" w:hAnsi="仿宋" w:eastAsia="仿宋" w:cs="仿宋"/>
                <w:sz w:val="24"/>
                <w:lang w:val="en-US" w:eastAsia="zh-CN"/>
              </w:rPr>
            </w:pPr>
            <w:r>
              <w:rPr>
                <w:rFonts w:hint="eastAsia" w:ascii="仿宋" w:hAnsi="仿宋" w:eastAsia="仿宋" w:cs="仿宋"/>
                <w:sz w:val="24"/>
                <w:lang w:val="en-US" w:eastAsia="zh-CN"/>
              </w:rPr>
              <w:t>预算执行率</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2.00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continue"/>
            <w:vAlign w:val="center"/>
          </w:tcPr>
          <w:p>
            <w:pPr>
              <w:rPr>
                <w:rFonts w:hint="eastAsia" w:ascii="仿宋" w:hAnsi="仿宋" w:eastAsia="仿宋" w:cs="仿宋"/>
                <w:sz w:val="24"/>
                <w:lang w:val="en-US" w:eastAsia="zh-CN"/>
              </w:rPr>
            </w:pPr>
          </w:p>
        </w:tc>
        <w:tc>
          <w:tcPr>
            <w:tcW w:w="4073" w:type="dxa"/>
            <w:vAlign w:val="center"/>
          </w:tcPr>
          <w:p>
            <w:pPr>
              <w:rPr>
                <w:rFonts w:hint="default" w:ascii="仿宋" w:hAnsi="仿宋" w:eastAsia="仿宋" w:cs="仿宋"/>
                <w:sz w:val="24"/>
                <w:lang w:val="en-US" w:eastAsia="zh-CN"/>
              </w:rPr>
            </w:pPr>
            <w:r>
              <w:rPr>
                <w:rFonts w:hint="eastAsia" w:ascii="仿宋" w:hAnsi="仿宋" w:eastAsia="仿宋" w:cs="仿宋"/>
                <w:sz w:val="24"/>
                <w:lang w:val="en-US" w:eastAsia="zh-CN"/>
              </w:rPr>
              <w:t>资金使用合规性</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6.00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continue"/>
            <w:vAlign w:val="center"/>
          </w:tcPr>
          <w:p>
            <w:pPr>
              <w:rPr>
                <w:rFonts w:hint="eastAsia" w:ascii="仿宋" w:hAnsi="仿宋" w:eastAsia="仿宋" w:cs="仿宋"/>
                <w:sz w:val="24"/>
                <w:lang w:val="en-US" w:eastAsia="zh-CN"/>
              </w:rPr>
            </w:pPr>
          </w:p>
        </w:tc>
        <w:tc>
          <w:tcPr>
            <w:tcW w:w="4073"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小  计</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10.00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restart"/>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组织实施</w:t>
            </w:r>
          </w:p>
        </w:tc>
        <w:tc>
          <w:tcPr>
            <w:tcW w:w="4073" w:type="dxa"/>
            <w:vAlign w:val="center"/>
          </w:tcPr>
          <w:p>
            <w:pPr>
              <w:rPr>
                <w:rFonts w:hint="default" w:ascii="仿宋" w:hAnsi="仿宋" w:eastAsia="仿宋" w:cs="仿宋"/>
                <w:sz w:val="24"/>
                <w:lang w:val="en-US" w:eastAsia="zh-CN"/>
              </w:rPr>
            </w:pPr>
            <w:r>
              <w:rPr>
                <w:rFonts w:hint="eastAsia" w:ascii="仿宋" w:hAnsi="仿宋" w:eastAsia="仿宋" w:cs="仿宋"/>
                <w:sz w:val="24"/>
                <w:lang w:val="en-US" w:eastAsia="zh-CN"/>
              </w:rPr>
              <w:t>组织分工</w:t>
            </w:r>
          </w:p>
        </w:tc>
        <w:tc>
          <w:tcPr>
            <w:tcW w:w="1198" w:type="dxa"/>
            <w:vAlign w:val="center"/>
          </w:tcPr>
          <w:p>
            <w:pPr>
              <w:jc w:val="center"/>
              <w:rPr>
                <w:rFonts w:ascii="仿宋" w:hAnsi="仿宋" w:eastAsia="仿宋" w:cs="仿宋"/>
                <w:sz w:val="24"/>
              </w:rPr>
            </w:pPr>
            <w:r>
              <w:rPr>
                <w:rFonts w:hint="eastAsia" w:ascii="仿宋" w:hAnsi="仿宋" w:eastAsia="仿宋" w:cs="仿宋"/>
                <w:sz w:val="24"/>
                <w:lang w:val="en-US" w:eastAsia="zh-CN"/>
              </w:rPr>
              <w:t>2</w:t>
            </w:r>
            <w:r>
              <w:rPr>
                <w:rFonts w:ascii="仿宋" w:hAnsi="仿宋" w:eastAsia="仿宋" w:cs="仿宋"/>
                <w:sz w:val="24"/>
              </w:rPr>
              <w:t>.00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1</w:t>
            </w:r>
            <w:r>
              <w:rPr>
                <w:rFonts w:ascii="仿宋" w:hAnsi="仿宋" w:eastAsia="仿宋" w:cs="仿宋"/>
                <w:sz w:val="24"/>
              </w:rPr>
              <w:t>.</w:t>
            </w:r>
            <w:r>
              <w:rPr>
                <w:rFonts w:hint="eastAsia" w:ascii="仿宋" w:hAnsi="仿宋" w:eastAsia="仿宋" w:cs="仿宋"/>
                <w:sz w:val="24"/>
                <w:lang w:val="en-US" w:eastAsia="zh-CN"/>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continue"/>
            <w:vAlign w:val="center"/>
          </w:tcPr>
          <w:p>
            <w:pPr>
              <w:rPr>
                <w:rFonts w:ascii="仿宋" w:hAnsi="仿宋" w:eastAsia="仿宋" w:cs="仿宋"/>
                <w:sz w:val="24"/>
              </w:rPr>
            </w:pPr>
          </w:p>
        </w:tc>
        <w:tc>
          <w:tcPr>
            <w:tcW w:w="4073" w:type="dxa"/>
            <w:vAlign w:val="center"/>
          </w:tcPr>
          <w:p>
            <w:pPr>
              <w:rPr>
                <w:rFonts w:hint="default" w:ascii="仿宋" w:hAnsi="仿宋" w:eastAsia="仿宋" w:cs="仿宋"/>
                <w:sz w:val="24"/>
                <w:lang w:val="en-US" w:eastAsia="zh-CN"/>
              </w:rPr>
            </w:pPr>
            <w:r>
              <w:rPr>
                <w:rFonts w:hint="eastAsia" w:ascii="仿宋" w:hAnsi="仿宋" w:eastAsia="仿宋" w:cs="仿宋"/>
                <w:sz w:val="24"/>
                <w:lang w:val="en-US" w:eastAsia="zh-CN"/>
              </w:rPr>
              <w:t>管理制度健全性</w:t>
            </w:r>
          </w:p>
        </w:tc>
        <w:tc>
          <w:tcPr>
            <w:tcW w:w="1198" w:type="dxa"/>
            <w:vAlign w:val="center"/>
          </w:tcPr>
          <w:p>
            <w:pPr>
              <w:jc w:val="center"/>
              <w:rPr>
                <w:rFonts w:ascii="仿宋" w:hAnsi="仿宋" w:eastAsia="仿宋" w:cs="仿宋"/>
                <w:sz w:val="24"/>
              </w:rPr>
            </w:pPr>
            <w:r>
              <w:rPr>
                <w:rFonts w:hint="eastAsia" w:ascii="仿宋" w:hAnsi="仿宋" w:eastAsia="仿宋" w:cs="仿宋"/>
                <w:sz w:val="24"/>
                <w:lang w:val="en-US" w:eastAsia="zh-CN"/>
              </w:rPr>
              <w:t>2</w:t>
            </w:r>
            <w:r>
              <w:rPr>
                <w:rFonts w:ascii="仿宋" w:hAnsi="仿宋" w:eastAsia="仿宋" w:cs="仿宋"/>
                <w:sz w:val="24"/>
              </w:rPr>
              <w:t>.00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continue"/>
            <w:vAlign w:val="center"/>
          </w:tcPr>
          <w:p>
            <w:pPr>
              <w:rPr>
                <w:rFonts w:ascii="仿宋" w:hAnsi="仿宋" w:eastAsia="仿宋" w:cs="仿宋"/>
                <w:sz w:val="24"/>
              </w:rPr>
            </w:pPr>
          </w:p>
        </w:tc>
        <w:tc>
          <w:tcPr>
            <w:tcW w:w="4073" w:type="dxa"/>
            <w:vAlign w:val="center"/>
          </w:tcPr>
          <w:p>
            <w:pPr>
              <w:rPr>
                <w:rFonts w:hint="default" w:ascii="仿宋" w:hAnsi="仿宋" w:eastAsia="仿宋" w:cs="仿宋"/>
                <w:sz w:val="24"/>
                <w:lang w:val="en-US" w:eastAsia="zh-CN"/>
              </w:rPr>
            </w:pPr>
            <w:r>
              <w:rPr>
                <w:rFonts w:hint="eastAsia" w:ascii="仿宋" w:hAnsi="仿宋" w:eastAsia="仿宋" w:cs="仿宋"/>
                <w:sz w:val="24"/>
                <w:lang w:val="en-US" w:eastAsia="zh-CN"/>
              </w:rPr>
              <w:t>制度执行有效性</w:t>
            </w:r>
          </w:p>
        </w:tc>
        <w:tc>
          <w:tcPr>
            <w:tcW w:w="1198" w:type="dxa"/>
            <w:vAlign w:val="center"/>
          </w:tcPr>
          <w:p>
            <w:pPr>
              <w:jc w:val="center"/>
              <w:rPr>
                <w:rFonts w:ascii="仿宋" w:hAnsi="仿宋" w:eastAsia="仿宋" w:cs="仿宋"/>
                <w:sz w:val="24"/>
              </w:rPr>
            </w:pPr>
            <w:r>
              <w:rPr>
                <w:rFonts w:hint="eastAsia" w:ascii="仿宋" w:hAnsi="仿宋" w:eastAsia="仿宋" w:cs="仿宋"/>
                <w:sz w:val="24"/>
                <w:lang w:val="en-US" w:eastAsia="zh-CN"/>
              </w:rPr>
              <w:t>8</w:t>
            </w:r>
            <w:r>
              <w:rPr>
                <w:rFonts w:ascii="仿宋" w:hAnsi="仿宋" w:eastAsia="仿宋" w:cs="仿宋"/>
                <w:sz w:val="24"/>
              </w:rPr>
              <w:t>.00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continue"/>
            <w:vAlign w:val="center"/>
          </w:tcPr>
          <w:p>
            <w:pPr>
              <w:rPr>
                <w:rFonts w:ascii="仿宋" w:hAnsi="仿宋" w:eastAsia="仿宋" w:cs="仿宋"/>
                <w:sz w:val="24"/>
              </w:rPr>
            </w:pPr>
          </w:p>
        </w:tc>
        <w:tc>
          <w:tcPr>
            <w:tcW w:w="4073" w:type="dxa"/>
            <w:vAlign w:val="center"/>
          </w:tcPr>
          <w:p>
            <w:pPr>
              <w:jc w:val="left"/>
              <w:rPr>
                <w:rFonts w:hint="default" w:ascii="仿宋" w:hAnsi="仿宋" w:eastAsia="仿宋" w:cs="仿宋"/>
                <w:sz w:val="24"/>
                <w:lang w:val="en-US" w:eastAsia="zh-CN"/>
              </w:rPr>
            </w:pPr>
            <w:r>
              <w:rPr>
                <w:rFonts w:hint="eastAsia" w:ascii="仿宋" w:hAnsi="仿宋" w:eastAsia="仿宋" w:cs="仿宋"/>
                <w:sz w:val="24"/>
                <w:lang w:val="en-US" w:eastAsia="zh-CN"/>
              </w:rPr>
              <w:t>档案管理</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2.00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continue"/>
            <w:vAlign w:val="center"/>
          </w:tcPr>
          <w:p>
            <w:pPr>
              <w:rPr>
                <w:rFonts w:ascii="仿宋" w:hAnsi="仿宋" w:eastAsia="仿宋" w:cs="仿宋"/>
                <w:sz w:val="24"/>
              </w:rPr>
            </w:pPr>
          </w:p>
        </w:tc>
        <w:tc>
          <w:tcPr>
            <w:tcW w:w="4073" w:type="dxa"/>
            <w:vAlign w:val="center"/>
          </w:tcPr>
          <w:p>
            <w:pPr>
              <w:jc w:val="center"/>
              <w:rPr>
                <w:rFonts w:ascii="仿宋" w:hAnsi="仿宋" w:eastAsia="仿宋" w:cs="仿宋"/>
                <w:sz w:val="24"/>
              </w:rPr>
            </w:pPr>
            <w:r>
              <w:rPr>
                <w:rFonts w:hint="eastAsia" w:ascii="仿宋" w:hAnsi="仿宋" w:eastAsia="仿宋" w:cs="仿宋"/>
                <w:sz w:val="24"/>
              </w:rPr>
              <w:t>小</w:t>
            </w:r>
            <w:r>
              <w:rPr>
                <w:rFonts w:hint="eastAsia" w:ascii="仿宋" w:hAnsi="仿宋" w:eastAsia="仿宋" w:cs="仿宋"/>
                <w:sz w:val="24"/>
                <w:lang w:val="en-US" w:eastAsia="zh-CN"/>
              </w:rPr>
              <w:t xml:space="preserve">  </w:t>
            </w:r>
            <w:r>
              <w:rPr>
                <w:rFonts w:hint="eastAsia" w:ascii="仿宋" w:hAnsi="仿宋" w:eastAsia="仿宋" w:cs="仿宋"/>
                <w:sz w:val="24"/>
              </w:rPr>
              <w:t>计</w:t>
            </w:r>
          </w:p>
        </w:tc>
        <w:tc>
          <w:tcPr>
            <w:tcW w:w="1198" w:type="dxa"/>
            <w:vAlign w:val="center"/>
          </w:tcPr>
          <w:p>
            <w:pPr>
              <w:jc w:val="center"/>
              <w:rPr>
                <w:rFonts w:ascii="仿宋" w:hAnsi="仿宋" w:eastAsia="仿宋" w:cs="仿宋"/>
                <w:sz w:val="24"/>
              </w:rPr>
            </w:pPr>
            <w:r>
              <w:rPr>
                <w:rFonts w:hint="eastAsia" w:ascii="仿宋" w:hAnsi="仿宋" w:eastAsia="仿宋" w:cs="仿宋"/>
                <w:sz w:val="24"/>
                <w:lang w:val="en-US" w:eastAsia="zh-CN"/>
              </w:rPr>
              <w:t>14</w:t>
            </w:r>
            <w:r>
              <w:rPr>
                <w:rFonts w:ascii="仿宋" w:hAnsi="仿宋" w:eastAsia="仿宋" w:cs="仿宋"/>
                <w:sz w:val="24"/>
              </w:rPr>
              <w:t>.00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Align w:val="center"/>
          </w:tcPr>
          <w:p>
            <w:pPr>
              <w:jc w:val="center"/>
              <w:rPr>
                <w:rFonts w:ascii="仿宋" w:hAnsi="仿宋" w:eastAsia="仿宋" w:cs="仿宋"/>
                <w:b/>
                <w:sz w:val="24"/>
              </w:rPr>
            </w:pPr>
            <w:r>
              <w:rPr>
                <w:rFonts w:hint="eastAsia" w:ascii="仿宋" w:hAnsi="仿宋" w:eastAsia="仿宋" w:cs="仿宋"/>
                <w:b/>
                <w:sz w:val="24"/>
              </w:rPr>
              <w:t>过</w:t>
            </w:r>
            <w:r>
              <w:rPr>
                <w:rFonts w:hint="eastAsia" w:ascii="仿宋" w:hAnsi="仿宋" w:eastAsia="仿宋" w:cs="仿宋"/>
                <w:b/>
                <w:sz w:val="24"/>
                <w:lang w:val="en-US" w:eastAsia="zh-CN"/>
              </w:rPr>
              <w:t xml:space="preserve">  </w:t>
            </w:r>
            <w:r>
              <w:rPr>
                <w:rFonts w:hint="eastAsia" w:ascii="仿宋" w:hAnsi="仿宋" w:eastAsia="仿宋" w:cs="仿宋"/>
                <w:b/>
                <w:sz w:val="24"/>
              </w:rPr>
              <w:t>程</w:t>
            </w:r>
          </w:p>
        </w:tc>
        <w:tc>
          <w:tcPr>
            <w:tcW w:w="4073" w:type="dxa"/>
            <w:vAlign w:val="center"/>
          </w:tcPr>
          <w:p>
            <w:pPr>
              <w:jc w:val="center"/>
              <w:rPr>
                <w:rFonts w:ascii="仿宋" w:hAnsi="仿宋" w:eastAsia="仿宋" w:cs="仿宋"/>
                <w:b/>
                <w:sz w:val="24"/>
              </w:rPr>
            </w:pPr>
            <w:r>
              <w:rPr>
                <w:rFonts w:hint="eastAsia" w:ascii="仿宋" w:hAnsi="仿宋" w:eastAsia="仿宋" w:cs="仿宋"/>
                <w:b/>
                <w:sz w:val="24"/>
              </w:rPr>
              <w:t>合</w:t>
            </w:r>
            <w:r>
              <w:rPr>
                <w:rFonts w:hint="eastAsia" w:ascii="仿宋" w:hAnsi="仿宋" w:eastAsia="仿宋" w:cs="仿宋"/>
                <w:b/>
                <w:sz w:val="24"/>
                <w:lang w:val="en-US" w:eastAsia="zh-CN"/>
              </w:rPr>
              <w:t xml:space="preserve">  </w:t>
            </w:r>
            <w:r>
              <w:rPr>
                <w:rFonts w:hint="eastAsia" w:ascii="仿宋" w:hAnsi="仿宋" w:eastAsia="仿宋" w:cs="仿宋"/>
                <w:b/>
                <w:sz w:val="24"/>
              </w:rPr>
              <w:t>计</w:t>
            </w:r>
          </w:p>
        </w:tc>
        <w:tc>
          <w:tcPr>
            <w:tcW w:w="1198" w:type="dxa"/>
            <w:vAlign w:val="center"/>
          </w:tcPr>
          <w:p>
            <w:pPr>
              <w:jc w:val="center"/>
              <w:rPr>
                <w:rFonts w:ascii="仿宋" w:hAnsi="仿宋" w:eastAsia="仿宋" w:cs="仿宋"/>
                <w:b/>
                <w:sz w:val="24"/>
              </w:rPr>
            </w:pPr>
            <w:r>
              <w:rPr>
                <w:rFonts w:hint="eastAsia" w:ascii="仿宋" w:hAnsi="仿宋" w:eastAsia="仿宋" w:cs="仿宋"/>
                <w:b/>
                <w:sz w:val="24"/>
                <w:lang w:val="en-US" w:eastAsia="zh-CN"/>
              </w:rPr>
              <w:t>24</w:t>
            </w:r>
            <w:r>
              <w:rPr>
                <w:rFonts w:ascii="仿宋" w:hAnsi="仿宋" w:eastAsia="仿宋" w:cs="仿宋"/>
                <w:b/>
                <w:sz w:val="24"/>
              </w:rPr>
              <w:t>.00</w:t>
            </w:r>
          </w:p>
        </w:tc>
        <w:tc>
          <w:tcPr>
            <w:tcW w:w="1198" w:type="dxa"/>
            <w:vAlign w:val="center"/>
          </w:tcPr>
          <w:p>
            <w:pPr>
              <w:jc w:val="center"/>
              <w:rPr>
                <w:rFonts w:hint="default" w:ascii="仿宋" w:hAnsi="仿宋" w:eastAsia="仿宋" w:cs="仿宋"/>
                <w:b/>
                <w:sz w:val="24"/>
                <w:lang w:val="en-US" w:eastAsia="zh-CN"/>
              </w:rPr>
            </w:pPr>
            <w:r>
              <w:rPr>
                <w:rFonts w:hint="eastAsia" w:ascii="仿宋" w:hAnsi="仿宋" w:eastAsia="仿宋" w:cs="仿宋"/>
                <w:b/>
                <w:sz w:val="24"/>
                <w:lang w:val="en-US" w:eastAsia="zh-CN"/>
              </w:rPr>
              <w:t>17.58</w:t>
            </w:r>
          </w:p>
        </w:tc>
      </w:tr>
    </w:tbl>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ascii="仿宋" w:hAnsi="仿宋" w:eastAsia="仿宋" w:cs="仿宋"/>
          <w:b/>
          <w:sz w:val="28"/>
          <w:szCs w:val="28"/>
          <w:highlight w:val="none"/>
        </w:rPr>
      </w:pPr>
      <w:bookmarkStart w:id="167" w:name="_Toc9978_WPSOffice_Level3"/>
      <w:bookmarkStart w:id="168" w:name="_Toc20501_WPSOffice_Level3"/>
      <w:bookmarkStart w:id="169" w:name="_Toc1218"/>
      <w:r>
        <w:rPr>
          <w:rFonts w:hint="eastAsia" w:ascii="仿宋" w:hAnsi="仿宋" w:eastAsia="仿宋" w:cs="仿宋"/>
          <w:b/>
          <w:sz w:val="28"/>
          <w:szCs w:val="28"/>
          <w:lang w:val="en-US" w:eastAsia="zh-CN"/>
        </w:rPr>
        <w:t>1</w:t>
      </w:r>
      <w:r>
        <w:rPr>
          <w:rFonts w:ascii="仿宋" w:hAnsi="仿宋" w:eastAsia="仿宋" w:cs="仿宋"/>
          <w:b/>
          <w:sz w:val="28"/>
          <w:szCs w:val="28"/>
        </w:rPr>
        <w:t>.</w:t>
      </w:r>
      <w:r>
        <w:rPr>
          <w:rFonts w:hint="eastAsia" w:ascii="仿宋" w:hAnsi="仿宋" w:eastAsia="仿宋" w:cs="仿宋"/>
          <w:b/>
          <w:sz w:val="28"/>
          <w:szCs w:val="28"/>
          <w:lang w:eastAsia="zh-CN"/>
        </w:rPr>
        <w:t>资金</w:t>
      </w:r>
      <w:r>
        <w:rPr>
          <w:rFonts w:hint="eastAsia" w:ascii="仿宋" w:hAnsi="仿宋" w:eastAsia="仿宋" w:cs="仿宋"/>
          <w:b/>
          <w:sz w:val="28"/>
          <w:szCs w:val="28"/>
          <w:lang w:val="en-US" w:eastAsia="zh-CN"/>
        </w:rPr>
        <w:t>管理</w:t>
      </w:r>
      <w:r>
        <w:rPr>
          <w:rFonts w:hint="eastAsia" w:ascii="仿宋" w:hAnsi="仿宋" w:eastAsia="仿宋" w:cs="仿宋"/>
          <w:b/>
          <w:sz w:val="28"/>
          <w:szCs w:val="28"/>
        </w:rPr>
        <w:t>，</w:t>
      </w:r>
      <w:r>
        <w:rPr>
          <w:rFonts w:ascii="仿宋" w:hAnsi="仿宋" w:eastAsia="仿宋" w:cs="仿宋"/>
          <w:b/>
          <w:sz w:val="28"/>
          <w:szCs w:val="28"/>
        </w:rPr>
        <w:t>权重</w:t>
      </w:r>
      <w:r>
        <w:rPr>
          <w:rFonts w:hint="eastAsia" w:ascii="仿宋" w:hAnsi="仿宋" w:eastAsia="仿宋" w:cs="仿宋"/>
          <w:b/>
          <w:sz w:val="28"/>
          <w:szCs w:val="28"/>
          <w:lang w:val="en-US" w:eastAsia="zh-CN"/>
        </w:rPr>
        <w:t>10</w:t>
      </w:r>
      <w:r>
        <w:rPr>
          <w:rFonts w:hint="eastAsia" w:ascii="仿宋" w:hAnsi="仿宋" w:eastAsia="仿宋" w:cs="仿宋"/>
          <w:b/>
          <w:sz w:val="28"/>
          <w:szCs w:val="28"/>
        </w:rPr>
        <w:t>分，</w:t>
      </w:r>
      <w:r>
        <w:rPr>
          <w:rFonts w:hint="eastAsia" w:ascii="仿宋" w:hAnsi="仿宋" w:eastAsia="仿宋" w:cs="仿宋"/>
          <w:b/>
          <w:sz w:val="28"/>
          <w:szCs w:val="28"/>
          <w:highlight w:val="none"/>
        </w:rPr>
        <w:t>得分</w:t>
      </w:r>
      <w:r>
        <w:rPr>
          <w:rFonts w:hint="eastAsia" w:ascii="仿宋" w:hAnsi="仿宋" w:eastAsia="仿宋" w:cs="仿宋"/>
          <w:b/>
          <w:sz w:val="28"/>
          <w:szCs w:val="28"/>
          <w:highlight w:val="none"/>
          <w:lang w:val="en-US" w:eastAsia="zh-CN"/>
        </w:rPr>
        <w:t>7.08</w:t>
      </w:r>
      <w:r>
        <w:rPr>
          <w:rFonts w:ascii="仿宋" w:hAnsi="仿宋" w:eastAsia="仿宋" w:cs="仿宋"/>
          <w:b/>
          <w:sz w:val="28"/>
          <w:szCs w:val="28"/>
          <w:highlight w:val="none"/>
        </w:rPr>
        <w:t>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lang w:eastAsia="zh-CN"/>
        </w:rPr>
      </w:pPr>
      <w:bookmarkStart w:id="170" w:name="_Toc3746"/>
      <w:r>
        <w:rPr>
          <w:rFonts w:hint="eastAsia" w:ascii="仿宋" w:hAnsi="仿宋" w:eastAsia="仿宋" w:cs="仿宋"/>
          <w:b/>
          <w:sz w:val="28"/>
          <w:szCs w:val="28"/>
        </w:rPr>
        <w:t>（1）</w:t>
      </w:r>
      <w:r>
        <w:rPr>
          <w:rFonts w:hint="eastAsia" w:ascii="仿宋" w:hAnsi="仿宋" w:eastAsia="仿宋" w:cs="仿宋"/>
          <w:b/>
          <w:sz w:val="28"/>
          <w:szCs w:val="28"/>
          <w:lang w:eastAsia="zh-CN"/>
        </w:rPr>
        <w:t>资金到位率</w:t>
      </w:r>
      <w:bookmarkEnd w:id="17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Cs/>
          <w:sz w:val="28"/>
          <w:szCs w:val="28"/>
          <w:highlight w:val="none"/>
          <w:lang w:val="en-US" w:eastAsia="zh-CN" w:bidi="ar"/>
        </w:rPr>
      </w:pPr>
      <w:bookmarkStart w:id="171" w:name="_Toc29075"/>
      <w:r>
        <w:rPr>
          <w:rFonts w:hint="eastAsia" w:ascii="仿宋" w:hAnsi="仿宋" w:eastAsia="仿宋" w:cs="仿宋"/>
          <w:b w:val="0"/>
          <w:bCs/>
          <w:sz w:val="28"/>
          <w:szCs w:val="28"/>
          <w:lang w:val="en-US" w:eastAsia="zh-CN"/>
        </w:rPr>
        <w:t>该项目预算资金为</w:t>
      </w:r>
      <w:r>
        <w:rPr>
          <w:rFonts w:hint="eastAsia" w:ascii="仿宋" w:hAnsi="仿宋" w:eastAsia="仿宋" w:cs="仿宋"/>
          <w:bCs/>
          <w:sz w:val="28"/>
          <w:szCs w:val="28"/>
          <w:lang w:val="en-US" w:eastAsia="zh-CN"/>
        </w:rPr>
        <w:t>4176.39</w:t>
      </w:r>
      <w:r>
        <w:rPr>
          <w:rFonts w:hint="eastAsia" w:ascii="仿宋" w:hAnsi="仿宋" w:eastAsia="仿宋" w:cs="仿宋"/>
          <w:b w:val="0"/>
          <w:bCs/>
          <w:sz w:val="28"/>
          <w:szCs w:val="28"/>
          <w:lang w:val="en-US" w:eastAsia="zh-CN"/>
        </w:rPr>
        <w:t>万元，实际到位资金为</w:t>
      </w:r>
      <w:r>
        <w:rPr>
          <w:rFonts w:hint="eastAsia" w:ascii="仿宋" w:hAnsi="仿宋" w:eastAsia="仿宋" w:cs="仿宋"/>
          <w:bCs/>
          <w:sz w:val="28"/>
          <w:szCs w:val="28"/>
          <w:lang w:val="en-US" w:eastAsia="zh-CN"/>
        </w:rPr>
        <w:t>4176.39</w:t>
      </w:r>
      <w:r>
        <w:rPr>
          <w:rFonts w:hint="eastAsia" w:ascii="仿宋" w:hAnsi="仿宋" w:eastAsia="仿宋" w:cs="仿宋"/>
          <w:bCs/>
          <w:sz w:val="28"/>
          <w:szCs w:val="28"/>
          <w:highlight w:val="none"/>
          <w:lang w:eastAsia="zh-CN" w:bidi="ar"/>
        </w:rPr>
        <w:t>万元</w:t>
      </w:r>
      <w:r>
        <w:rPr>
          <w:rFonts w:hint="eastAsia" w:ascii="仿宋" w:hAnsi="仿宋" w:eastAsia="仿宋" w:cs="仿宋"/>
          <w:bCs/>
          <w:sz w:val="28"/>
          <w:szCs w:val="28"/>
          <w:highlight w:val="none"/>
          <w:lang w:val="en-US" w:eastAsia="zh-CN" w:bidi="ar"/>
        </w:rPr>
        <w:t>资金到位率为100%。</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val="en-US" w:eastAsia="zh-CN" w:bidi="ar"/>
        </w:rPr>
        <w:t>本指标权重2分，得分2分。</w:t>
      </w:r>
      <w:bookmarkEnd w:id="171"/>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highlight w:val="none"/>
          <w:lang w:eastAsia="zh-CN"/>
        </w:rPr>
      </w:pPr>
      <w:bookmarkStart w:id="172" w:name="_Toc28916"/>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2</w:t>
      </w:r>
      <w:r>
        <w:rPr>
          <w:rFonts w:hint="eastAsia" w:ascii="仿宋" w:hAnsi="仿宋" w:eastAsia="仿宋" w:cs="仿宋"/>
          <w:b/>
          <w:sz w:val="28"/>
          <w:szCs w:val="28"/>
          <w:highlight w:val="none"/>
          <w:lang w:eastAsia="zh-CN"/>
        </w:rPr>
        <w:t>）</w:t>
      </w:r>
      <w:bookmarkEnd w:id="172"/>
      <w:bookmarkStart w:id="173" w:name="_Toc6323"/>
      <w:r>
        <w:rPr>
          <w:rFonts w:hint="eastAsia" w:ascii="仿宋" w:hAnsi="仿宋" w:eastAsia="仿宋" w:cs="仿宋"/>
          <w:b/>
          <w:sz w:val="28"/>
          <w:szCs w:val="28"/>
          <w:highlight w:val="none"/>
          <w:lang w:eastAsia="zh-CN"/>
        </w:rPr>
        <w:t>预算执行率</w:t>
      </w:r>
      <w:bookmarkEnd w:id="17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sz w:val="28"/>
          <w:szCs w:val="28"/>
          <w:highlight w:val="none"/>
          <w:lang w:val="en-US" w:eastAsia="zh-CN"/>
        </w:rPr>
      </w:pPr>
      <w:bookmarkStart w:id="174" w:name="_Toc8715"/>
      <w:r>
        <w:rPr>
          <w:rFonts w:hint="eastAsia" w:ascii="仿宋" w:hAnsi="仿宋" w:eastAsia="仿宋" w:cs="仿宋"/>
          <w:b w:val="0"/>
          <w:bCs/>
          <w:sz w:val="28"/>
          <w:szCs w:val="28"/>
          <w:highlight w:val="none"/>
          <w:lang w:val="en-US" w:eastAsia="zh-CN"/>
        </w:rPr>
        <w:t>截至绩效评价日，项目实际支付金额为</w:t>
      </w:r>
      <w:r>
        <w:rPr>
          <w:rFonts w:hint="eastAsia" w:ascii="仿宋" w:hAnsi="仿宋" w:eastAsia="仿宋" w:cs="仿宋"/>
          <w:bCs/>
          <w:sz w:val="28"/>
          <w:szCs w:val="28"/>
          <w:highlight w:val="none"/>
          <w:lang w:val="en-US" w:eastAsia="zh-CN" w:bidi="ar"/>
        </w:rPr>
        <w:t>3673.92</w:t>
      </w:r>
      <w:r>
        <w:rPr>
          <w:rFonts w:hint="eastAsia" w:ascii="仿宋" w:hAnsi="仿宋" w:eastAsia="仿宋" w:cs="仿宋"/>
          <w:b w:val="0"/>
          <w:bCs/>
          <w:sz w:val="28"/>
          <w:szCs w:val="28"/>
          <w:highlight w:val="none"/>
          <w:lang w:val="en-US" w:eastAsia="zh-CN"/>
        </w:rPr>
        <w:t>万元，预算执行率为87.97%，预算执行未完成主要原因为：基本公卫项目2020工作量核定工作延后。</w:t>
      </w:r>
    </w:p>
    <w:p>
      <w:pPr>
        <w:spacing w:line="560" w:lineRule="exact"/>
        <w:ind w:firstLine="560" w:firstLineChars="200"/>
        <w:outlineLvl w:val="0"/>
        <w:rPr>
          <w:rFonts w:ascii="仿宋" w:hAnsi="仿宋" w:eastAsia="仿宋" w:cs="仿宋"/>
          <w:sz w:val="28"/>
          <w:szCs w:val="28"/>
          <w:highlight w:val="none"/>
        </w:rPr>
      </w:pPr>
      <w:r>
        <w:rPr>
          <w:rFonts w:ascii="仿宋" w:hAnsi="仿宋" w:eastAsia="仿宋" w:cs="仿宋"/>
          <w:sz w:val="28"/>
          <w:szCs w:val="28"/>
          <w:highlight w:val="none"/>
        </w:rPr>
        <w:t>根据评分标准</w:t>
      </w:r>
      <w:r>
        <w:rPr>
          <w:rFonts w:hint="eastAsia" w:ascii="仿宋" w:hAnsi="仿宋" w:eastAsia="仿宋" w:cs="仿宋"/>
          <w:sz w:val="28"/>
          <w:szCs w:val="28"/>
          <w:highlight w:val="none"/>
        </w:rPr>
        <w:t>，</w:t>
      </w:r>
      <w:r>
        <w:rPr>
          <w:rFonts w:ascii="仿宋" w:hAnsi="仿宋" w:eastAsia="仿宋" w:cs="仿宋"/>
          <w:sz w:val="28"/>
          <w:szCs w:val="28"/>
          <w:highlight w:val="none"/>
        </w:rPr>
        <w:t>预算执行率在</w:t>
      </w:r>
      <w:r>
        <w:rPr>
          <w:rFonts w:hint="eastAsia" w:ascii="仿宋" w:hAnsi="仿宋" w:eastAsia="仿宋" w:cs="仿宋"/>
          <w:sz w:val="28"/>
          <w:szCs w:val="28"/>
          <w:highlight w:val="none"/>
        </w:rPr>
        <w:t>6</w:t>
      </w:r>
      <w:r>
        <w:rPr>
          <w:rFonts w:ascii="仿宋" w:hAnsi="仿宋" w:eastAsia="仿宋" w:cs="仿宋"/>
          <w:sz w:val="28"/>
          <w:szCs w:val="28"/>
          <w:highlight w:val="none"/>
        </w:rPr>
        <w:t>0</w:t>
      </w:r>
      <w:r>
        <w:rPr>
          <w:rFonts w:hint="eastAsia" w:ascii="仿宋" w:hAnsi="仿宋" w:eastAsia="仿宋" w:cs="仿宋"/>
          <w:sz w:val="28"/>
          <w:szCs w:val="28"/>
          <w:highlight w:val="none"/>
        </w:rPr>
        <w:t>%以下不得分，6</w:t>
      </w:r>
      <w:r>
        <w:rPr>
          <w:rFonts w:ascii="仿宋" w:hAnsi="仿宋" w:eastAsia="仿宋" w:cs="仿宋"/>
          <w:sz w:val="28"/>
          <w:szCs w:val="28"/>
          <w:highlight w:val="none"/>
        </w:rPr>
        <w:t>0</w:t>
      </w:r>
      <w:r>
        <w:rPr>
          <w:rFonts w:hint="eastAsia" w:ascii="仿宋" w:hAnsi="仿宋" w:eastAsia="仿宋" w:cs="仿宋"/>
          <w:sz w:val="28"/>
          <w:szCs w:val="28"/>
          <w:highlight w:val="none"/>
        </w:rPr>
        <w:t>%-1</w:t>
      </w:r>
      <w:r>
        <w:rPr>
          <w:rFonts w:ascii="仿宋" w:hAnsi="仿宋" w:eastAsia="仿宋" w:cs="仿宋"/>
          <w:sz w:val="28"/>
          <w:szCs w:val="28"/>
          <w:highlight w:val="none"/>
        </w:rPr>
        <w:t>00</w:t>
      </w:r>
      <w:r>
        <w:rPr>
          <w:rFonts w:hint="eastAsia" w:ascii="仿宋" w:hAnsi="仿宋" w:eastAsia="仿宋" w:cs="仿宋"/>
          <w:sz w:val="28"/>
          <w:szCs w:val="28"/>
          <w:highlight w:val="none"/>
        </w:rPr>
        <w:t>%</w:t>
      </w:r>
      <w:r>
        <w:rPr>
          <w:rFonts w:ascii="仿宋" w:hAnsi="仿宋" w:eastAsia="仿宋" w:cs="仿宋"/>
          <w:sz w:val="28"/>
          <w:szCs w:val="28"/>
          <w:highlight w:val="none"/>
        </w:rPr>
        <w:t>区间按比例计算得分</w:t>
      </w:r>
      <w:r>
        <w:rPr>
          <w:rFonts w:hint="eastAsia" w:ascii="仿宋" w:hAnsi="仿宋" w:eastAsia="仿宋" w:cs="仿宋"/>
          <w:sz w:val="28"/>
          <w:szCs w:val="28"/>
          <w:highlight w:val="none"/>
        </w:rPr>
        <w:t>。</w:t>
      </w:r>
      <w:r>
        <w:rPr>
          <w:rFonts w:ascii="仿宋" w:hAnsi="仿宋" w:eastAsia="仿宋" w:cs="仿宋"/>
          <w:sz w:val="28"/>
          <w:szCs w:val="28"/>
          <w:highlight w:val="none"/>
        </w:rPr>
        <w:t>本指标满分</w:t>
      </w:r>
      <w:r>
        <w:rPr>
          <w:rFonts w:hint="eastAsia" w:ascii="仿宋" w:hAnsi="仿宋" w:eastAsia="仿宋" w:cs="仿宋"/>
          <w:sz w:val="28"/>
          <w:szCs w:val="28"/>
          <w:highlight w:val="none"/>
        </w:rPr>
        <w:t>2分，</w:t>
      </w:r>
      <w:r>
        <w:rPr>
          <w:rFonts w:ascii="仿宋" w:hAnsi="仿宋" w:eastAsia="仿宋" w:cs="仿宋"/>
          <w:sz w:val="28"/>
          <w:szCs w:val="28"/>
          <w:highlight w:val="none"/>
        </w:rPr>
        <w:t>本指标</w:t>
      </w:r>
      <w:r>
        <w:rPr>
          <w:rFonts w:hint="eastAsia" w:ascii="仿宋" w:hAnsi="仿宋" w:eastAsia="仿宋" w:cs="仿宋"/>
          <w:sz w:val="28"/>
          <w:szCs w:val="28"/>
          <w:highlight w:val="none"/>
        </w:rPr>
        <w:t>得分=（</w:t>
      </w:r>
      <w:r>
        <w:rPr>
          <w:rFonts w:hint="eastAsia" w:ascii="仿宋" w:hAnsi="仿宋" w:eastAsia="仿宋" w:cs="仿宋"/>
          <w:b w:val="0"/>
          <w:bCs/>
          <w:sz w:val="28"/>
          <w:szCs w:val="28"/>
          <w:highlight w:val="none"/>
          <w:lang w:val="en-US" w:eastAsia="zh-CN"/>
        </w:rPr>
        <w:t>87.97</w:t>
      </w:r>
      <w:r>
        <w:rPr>
          <w:rFonts w:ascii="仿宋" w:hAnsi="仿宋" w:eastAsia="仿宋" w:cs="仿宋"/>
          <w:sz w:val="28"/>
          <w:szCs w:val="28"/>
          <w:highlight w:val="none"/>
        </w:rPr>
        <w:t>%</w:t>
      </w:r>
      <w:r>
        <w:rPr>
          <w:rFonts w:hint="eastAsia" w:ascii="仿宋" w:hAnsi="仿宋" w:eastAsia="仿宋" w:cs="仿宋"/>
          <w:sz w:val="28"/>
          <w:szCs w:val="28"/>
          <w:highlight w:val="none"/>
        </w:rPr>
        <w:t>-</w:t>
      </w:r>
      <w:r>
        <w:rPr>
          <w:rFonts w:ascii="仿宋" w:hAnsi="仿宋" w:eastAsia="仿宋" w:cs="仿宋"/>
          <w:sz w:val="28"/>
          <w:szCs w:val="28"/>
          <w:highlight w:val="none"/>
        </w:rPr>
        <w:t>60</w:t>
      </w:r>
      <w:r>
        <w:rPr>
          <w:rFonts w:hint="eastAsia" w:ascii="仿宋" w:hAnsi="仿宋" w:eastAsia="仿宋" w:cs="仿宋"/>
          <w:sz w:val="28"/>
          <w:szCs w:val="28"/>
          <w:highlight w:val="none"/>
        </w:rPr>
        <w:t>%）/</w:t>
      </w:r>
      <w:r>
        <w:rPr>
          <w:rFonts w:ascii="仿宋" w:hAnsi="仿宋" w:eastAsia="仿宋" w:cs="仿宋"/>
          <w:sz w:val="28"/>
          <w:szCs w:val="28"/>
          <w:highlight w:val="none"/>
        </w:rPr>
        <w:t>40%</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2</w:t>
      </w:r>
      <w:r>
        <w:rPr>
          <w:rFonts w:ascii="仿宋" w:hAnsi="仿宋" w:eastAsia="仿宋" w:cs="仿宋"/>
          <w:sz w:val="28"/>
          <w:szCs w:val="28"/>
          <w:highlight w:val="none"/>
        </w:rPr>
        <w:t>=</w:t>
      </w:r>
      <w:r>
        <w:rPr>
          <w:rFonts w:hint="eastAsia" w:ascii="仿宋" w:hAnsi="仿宋" w:eastAsia="仿宋" w:cs="仿宋"/>
          <w:sz w:val="28"/>
          <w:szCs w:val="28"/>
          <w:highlight w:val="none"/>
          <w:lang w:val="en-US" w:eastAsia="zh-CN"/>
        </w:rPr>
        <w:t>1.40</w:t>
      </w:r>
      <w:r>
        <w:rPr>
          <w:rFonts w:hint="eastAsia" w:ascii="仿宋" w:hAnsi="仿宋" w:eastAsia="仿宋" w:cs="仿宋"/>
          <w:sz w:val="28"/>
          <w:szCs w:val="28"/>
          <w:highlight w:val="none"/>
        </w:rPr>
        <w:t>分</w:t>
      </w:r>
    </w:p>
    <w:bookmarkEnd w:id="174"/>
    <w:p>
      <w:pPr>
        <w:pStyle w:val="2"/>
        <w:keepNext w:val="0"/>
        <w:keepLines w:val="0"/>
        <w:pageBreakBefore w:val="0"/>
        <w:widowControl w:val="0"/>
        <w:kinsoku/>
        <w:wordWrap/>
        <w:overflowPunct/>
        <w:topLinePunct w:val="0"/>
        <w:autoSpaceDE/>
        <w:autoSpaceDN/>
        <w:bidi w:val="0"/>
        <w:adjustRightInd/>
        <w:snapToGrid/>
        <w:spacing w:after="0"/>
        <w:ind w:firstLine="562" w:firstLineChars="200"/>
        <w:textAlignment w:val="auto"/>
        <w:rPr>
          <w:rFonts w:hint="default" w:ascii="仿宋" w:hAnsi="仿宋" w:eastAsia="仿宋" w:cs="仿宋"/>
          <w:b/>
          <w:bCs w:val="0"/>
          <w:sz w:val="28"/>
          <w:szCs w:val="28"/>
          <w:highlight w:val="none"/>
          <w:lang w:val="en-US" w:eastAsia="zh-CN"/>
        </w:rPr>
      </w:pPr>
      <w:r>
        <w:rPr>
          <w:rFonts w:hint="eastAsia" w:ascii="仿宋" w:hAnsi="仿宋" w:eastAsia="仿宋" w:cs="仿宋"/>
          <w:b/>
          <w:bCs w:val="0"/>
          <w:sz w:val="28"/>
          <w:szCs w:val="28"/>
          <w:highlight w:val="none"/>
          <w:lang w:val="en-US" w:eastAsia="zh-CN"/>
        </w:rPr>
        <w:t>（3）资金使用合规性</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 xml:space="preserve">    现场评价时，我们抽查审核了10家基本公卫实施单位的财务核算情况，部分指导机构存在超范围列支公卫经费的情况；各基层卫生院均未能做到将40%的工作量下放村级卫生室的要求，对本级卫生室的基本公卫资金补助也远低于40%。</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评价人员抽查的10家医疗卫生机构进行评价，经加权平均计算后，本指标权重6分，得分3.68分。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ascii="仿宋" w:hAnsi="仿宋" w:eastAsia="仿宋" w:cs="仿宋"/>
          <w:b/>
          <w:sz w:val="28"/>
          <w:szCs w:val="28"/>
          <w:highlight w:val="none"/>
        </w:rPr>
      </w:pPr>
      <w:r>
        <w:rPr>
          <w:rFonts w:hint="eastAsia" w:ascii="仿宋" w:hAnsi="仿宋" w:eastAsia="仿宋" w:cs="仿宋"/>
          <w:b/>
          <w:sz w:val="28"/>
          <w:szCs w:val="28"/>
          <w:lang w:val="en-US" w:eastAsia="zh-CN"/>
        </w:rPr>
        <w:t>2</w:t>
      </w:r>
      <w:r>
        <w:rPr>
          <w:rFonts w:ascii="仿宋" w:hAnsi="仿宋" w:eastAsia="仿宋" w:cs="仿宋"/>
          <w:b/>
          <w:sz w:val="28"/>
          <w:szCs w:val="28"/>
        </w:rPr>
        <w:t>.</w:t>
      </w:r>
      <w:r>
        <w:rPr>
          <w:rFonts w:hint="eastAsia" w:ascii="仿宋" w:hAnsi="仿宋" w:eastAsia="仿宋" w:cs="仿宋"/>
          <w:b/>
          <w:sz w:val="28"/>
          <w:szCs w:val="28"/>
          <w:lang w:val="en-US" w:eastAsia="zh-CN"/>
        </w:rPr>
        <w:t>组织实施</w:t>
      </w:r>
      <w:r>
        <w:rPr>
          <w:rFonts w:hint="eastAsia" w:ascii="仿宋" w:hAnsi="仿宋" w:eastAsia="仿宋" w:cs="仿宋"/>
          <w:b/>
          <w:sz w:val="28"/>
          <w:szCs w:val="28"/>
        </w:rPr>
        <w:t>，</w:t>
      </w:r>
      <w:r>
        <w:rPr>
          <w:rFonts w:ascii="仿宋" w:hAnsi="仿宋" w:eastAsia="仿宋" w:cs="仿宋"/>
          <w:b/>
          <w:sz w:val="28"/>
          <w:szCs w:val="28"/>
        </w:rPr>
        <w:t>权重</w:t>
      </w:r>
      <w:r>
        <w:rPr>
          <w:rFonts w:hint="eastAsia" w:ascii="仿宋" w:hAnsi="仿宋" w:eastAsia="仿宋" w:cs="仿宋"/>
          <w:b/>
          <w:sz w:val="28"/>
          <w:szCs w:val="28"/>
          <w:lang w:val="en-US" w:eastAsia="zh-CN"/>
        </w:rPr>
        <w:t>14</w:t>
      </w:r>
      <w:r>
        <w:rPr>
          <w:rFonts w:ascii="仿宋" w:hAnsi="仿宋" w:eastAsia="仿宋" w:cs="仿宋"/>
          <w:b/>
          <w:sz w:val="28"/>
          <w:szCs w:val="28"/>
        </w:rPr>
        <w:t>分</w:t>
      </w:r>
      <w:r>
        <w:rPr>
          <w:rFonts w:hint="eastAsia" w:ascii="仿宋" w:hAnsi="仿宋" w:eastAsia="仿宋" w:cs="仿宋"/>
          <w:b/>
          <w:sz w:val="28"/>
          <w:szCs w:val="28"/>
        </w:rPr>
        <w:t>，</w:t>
      </w:r>
      <w:r>
        <w:rPr>
          <w:rFonts w:ascii="仿宋" w:hAnsi="仿宋" w:eastAsia="仿宋" w:cs="仿宋"/>
          <w:b/>
          <w:sz w:val="28"/>
          <w:szCs w:val="28"/>
          <w:highlight w:val="none"/>
        </w:rPr>
        <w:t>得分</w:t>
      </w:r>
      <w:r>
        <w:rPr>
          <w:rFonts w:hint="eastAsia" w:ascii="仿宋" w:hAnsi="仿宋" w:eastAsia="仿宋" w:cs="仿宋"/>
          <w:b/>
          <w:sz w:val="28"/>
          <w:szCs w:val="28"/>
          <w:highlight w:val="none"/>
          <w:lang w:val="en-US" w:eastAsia="zh-CN"/>
        </w:rPr>
        <w:t>10.50</w:t>
      </w:r>
      <w:r>
        <w:rPr>
          <w:rFonts w:ascii="仿宋" w:hAnsi="仿宋" w:eastAsia="仿宋" w:cs="仿宋"/>
          <w:b/>
          <w:sz w:val="28"/>
          <w:szCs w:val="28"/>
          <w:highlight w:val="none"/>
        </w:rPr>
        <w:t>分</w:t>
      </w:r>
      <w:bookmarkEnd w:id="167"/>
      <w:bookmarkEnd w:id="168"/>
      <w:bookmarkEnd w:id="169"/>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sz w:val="28"/>
          <w:szCs w:val="28"/>
          <w:lang w:val="en-US" w:eastAsia="zh-CN"/>
        </w:rPr>
      </w:pPr>
      <w:bookmarkStart w:id="175" w:name="_Toc3122"/>
      <w:r>
        <w:rPr>
          <w:rFonts w:hint="eastAsia" w:ascii="仿宋" w:hAnsi="仿宋" w:eastAsia="仿宋" w:cs="仿宋"/>
          <w:b/>
          <w:sz w:val="28"/>
          <w:szCs w:val="28"/>
          <w:lang w:val="en-US" w:eastAsia="zh-CN"/>
        </w:rPr>
        <w:t>（1）组织分工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临猗县卫生健康和体育局为加强国家基本公共卫生服务项目管理，推动项目任务落实，提高服务质量，于2019年8月12日制订了《临猗县卫生健康和体育局关于基本公共卫生服务项目机构设置的通知》，明确了各级机构及相关部门的工作职责，但未能将新划入的基本公卫项目纳入组织管理；基本公卫实施单位也存在业务分配不科学的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评价人员抽查的10家医疗卫生机构进行评价，经加权平均计算后，本指标权重2分，得分1.74分。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（2）管理制度的健全性</w:t>
      </w:r>
      <w:bookmarkEnd w:id="17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sz w:val="28"/>
          <w:szCs w:val="28"/>
          <w:lang w:val="en-US" w:eastAsia="zh-CN"/>
        </w:rPr>
      </w:pPr>
      <w:bookmarkStart w:id="176" w:name="_Toc13446"/>
      <w:r>
        <w:rPr>
          <w:rFonts w:hint="eastAsia" w:ascii="仿宋" w:hAnsi="仿宋" w:eastAsia="仿宋" w:cs="仿宋"/>
          <w:b w:val="0"/>
          <w:bCs/>
          <w:sz w:val="28"/>
          <w:szCs w:val="28"/>
          <w:lang w:val="en-US" w:eastAsia="zh-CN"/>
        </w:rPr>
        <w:t>国家基本公共卫生服务项目主要依据《国家基本公共卫生服务规范（第三版）》和《新划入基本公共卫生服务相关工作规范》（2019年版）实施，涉及项目30余项。临猗县卫生健康和体育局每年会制订基本公卫项目的具体实施方案、考核办法等，规范本辖区基本公卫项目的服务对象、内容、流程、要求、工作指标、服务记录、组织管理、考核要求等。公卫项目具体实施单位还制订了规范、全面的项目考核制度，定期考核项目的实施情况。</w:t>
      </w:r>
    </w:p>
    <w:p>
      <w:pPr>
        <w:pStyle w:val="2"/>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default"/>
          <w:lang w:val="en-US" w:eastAsia="zh-CN"/>
        </w:rPr>
      </w:pPr>
      <w:r>
        <w:rPr>
          <w:rFonts w:hint="eastAsia" w:ascii="仿宋" w:hAnsi="仿宋" w:eastAsia="仿宋" w:cs="仿宋"/>
          <w:b w:val="0"/>
          <w:bCs/>
          <w:sz w:val="28"/>
          <w:szCs w:val="28"/>
          <w:lang w:val="en-US" w:eastAsia="zh-CN"/>
        </w:rPr>
        <w:t>依据财社（2019）113号《关于印发基本公共卫生服务等5项补助资金管理办法的通知》，临猗县卫体局和基本公卫具体实施单位均制订了《基本公共卫生服务项目补助资金管理办法》，用以规范管理临猗县2020年基本公共卫生服务项目的资金管理。</w:t>
      </w:r>
    </w:p>
    <w:bookmarkEnd w:id="176"/>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sz w:val="28"/>
          <w:szCs w:val="28"/>
          <w:lang w:val="en-US" w:eastAsia="zh-CN"/>
        </w:rPr>
      </w:pPr>
      <w:bookmarkStart w:id="177" w:name="_Toc17361"/>
      <w:r>
        <w:rPr>
          <w:rFonts w:hint="eastAsia" w:ascii="仿宋" w:hAnsi="仿宋" w:eastAsia="仿宋" w:cs="仿宋"/>
          <w:b w:val="0"/>
          <w:bCs/>
          <w:kern w:val="2"/>
          <w:sz w:val="28"/>
          <w:szCs w:val="28"/>
          <w:highlight w:val="none"/>
          <w:lang w:val="en-US" w:eastAsia="zh-CN" w:bidi="ar-SA"/>
        </w:rPr>
        <w:t>评价人员抽查的10家医疗卫生机构进行评价，经加权平均计算后，本指标权重2分，得分2分。</w:t>
      </w:r>
      <w:r>
        <w:rPr>
          <w:rFonts w:hint="eastAsia" w:ascii="仿宋" w:hAnsi="仿宋" w:eastAsia="仿宋" w:cs="仿宋"/>
          <w:b w:val="0"/>
          <w:bCs/>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sz w:val="28"/>
          <w:szCs w:val="28"/>
          <w:lang w:val="en-US" w:eastAsia="zh-CN"/>
        </w:rPr>
      </w:pPr>
      <w:r>
        <w:rPr>
          <w:rFonts w:hint="eastAsia" w:ascii="仿宋" w:hAnsi="仿宋" w:eastAsia="仿宋" w:cs="仿宋"/>
          <w:b/>
          <w:sz w:val="28"/>
          <w:szCs w:val="28"/>
          <w:lang w:val="en-US" w:eastAsia="zh-CN"/>
        </w:rPr>
        <w:t>（3）制度执行有效性</w:t>
      </w:r>
      <w:bookmarkEnd w:id="17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sz w:val="28"/>
          <w:szCs w:val="28"/>
          <w:lang w:val="en-US" w:eastAsia="zh-CN"/>
        </w:rPr>
      </w:pPr>
      <w:bookmarkStart w:id="178" w:name="_Toc28814"/>
      <w:r>
        <w:rPr>
          <w:rFonts w:hint="eastAsia" w:ascii="仿宋" w:hAnsi="仿宋" w:eastAsia="仿宋" w:cs="仿宋"/>
          <w:b w:val="0"/>
          <w:bCs/>
          <w:sz w:val="28"/>
          <w:szCs w:val="28"/>
          <w:lang w:val="en-US" w:eastAsia="zh-CN"/>
        </w:rPr>
        <w:t>2020年基本公卫服务项目未能完全按照《临猗县2020年基本公共卫生服务项目实施方案》、《国家基本公共卫生服务规范（第三版）》和《新划入基本公共卫生服务相关工作规范》的相关要求落实，如新生儿及产妇随访、中医药保管理和慢性病随访存在重数量轻质量的问题、老年人健康管理率存在个别虚报、人口监测数据不准确、基层工作任务繁重业务水平提升较慢、宣传不到位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临猗县卫健委、疾控中心、妇幼保健院等主管及指导机构2020年已按项目实施方案和绩效考核制度要求，对各基层医疗卫生机构进行了技术指导、业务培训、业务督导和考核，并对督导过程中发现的问题提出了整改意见，现场评价时，我们查看了各基层医疗机构的整改情况，部分项目整改不到位（如慢病随访规范管理人数、产妇随访质量要求等）。</w:t>
      </w:r>
    </w:p>
    <w:p>
      <w:pPr>
        <w:pStyle w:val="2"/>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default"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 xml:space="preserve">    基本公共卫生服务项目包括的项目很多，各项目均有不同的系统平台进行管理，信息化建设比较规范，但平台较多，管理不统一，要求不一致，容易出现错误，无形中也加重了基层工作人员的业务量。</w:t>
      </w:r>
    </w:p>
    <w:p>
      <w:pPr>
        <w:pStyle w:val="2"/>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default"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 xml:space="preserve">    在评价过程中我们还发现，项目资金使用监管工作开展不及时，专业监管人员不到位，各单位的资金使用均未能完全按照</w:t>
      </w:r>
      <w:r>
        <w:rPr>
          <w:rFonts w:hint="eastAsia" w:ascii="仿宋" w:hAnsi="仿宋" w:eastAsia="仿宋" w:cs="仿宋"/>
          <w:b w:val="0"/>
          <w:bCs/>
          <w:sz w:val="28"/>
          <w:szCs w:val="28"/>
          <w:lang w:val="en-US" w:eastAsia="zh-CN"/>
        </w:rPr>
        <w:t>《关于基本公共卫生服务项目补助资金管理暂行办法的通知》的相关规定规范使用。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本指标权重8分，得分5.09分。</w:t>
      </w:r>
      <w:bookmarkEnd w:id="178"/>
    </w:p>
    <w:p>
      <w:pPr>
        <w:pStyle w:val="2"/>
        <w:keepNext w:val="0"/>
        <w:keepLines w:val="0"/>
        <w:pageBreakBefore w:val="0"/>
        <w:widowControl w:val="0"/>
        <w:numPr>
          <w:ilvl w:val="0"/>
          <w:numId w:val="2"/>
        </w:numPr>
        <w:kinsoku/>
        <w:wordWrap/>
        <w:overflowPunct/>
        <w:topLinePunct w:val="0"/>
        <w:autoSpaceDE/>
        <w:autoSpaceDN/>
        <w:bidi w:val="0"/>
        <w:adjustRightInd/>
        <w:snapToGrid/>
        <w:spacing w:after="0" w:line="560" w:lineRule="exact"/>
        <w:ind w:firstLine="562" w:firstLineChars="200"/>
        <w:textAlignment w:val="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档案管理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hint="default"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 xml:space="preserve">   </w:t>
      </w:r>
      <w:r>
        <w:rPr>
          <w:rFonts w:hint="eastAsia" w:ascii="仿宋" w:hAnsi="仿宋" w:eastAsia="仿宋" w:cs="仿宋"/>
          <w:b w:val="0"/>
          <w:bCs/>
          <w:sz w:val="28"/>
          <w:szCs w:val="28"/>
          <w:lang w:val="en-US" w:eastAsia="zh-CN"/>
        </w:rPr>
        <w:t xml:space="preserve"> 各单位基本能配备专（兼）职人员，对基本公卫项目的纸质和电子档案进行管理，但实际评价过程中，我们发现部分项目档案存在归档不及时、资料不齐全，内容填写不完整等情况。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sz w:val="28"/>
          <w:szCs w:val="28"/>
          <w:lang w:val="en-US" w:eastAsia="zh-CN"/>
        </w:rPr>
      </w:pPr>
      <w:r>
        <w:rPr>
          <w:rFonts w:hint="eastAsia" w:ascii="仿宋" w:hAnsi="仿宋" w:eastAsia="仿宋" w:cs="仿宋"/>
          <w:b w:val="0"/>
          <w:bCs/>
          <w:kern w:val="2"/>
          <w:sz w:val="28"/>
          <w:szCs w:val="28"/>
          <w:highlight w:val="none"/>
          <w:lang w:val="en-US" w:eastAsia="zh-CN" w:bidi="ar-SA"/>
        </w:rPr>
        <w:t>评价人员抽查的10家医疗卫生机构进行评价，经加权平均计算后，本指标权重2分，得分1.67分。</w:t>
      </w:r>
      <w:r>
        <w:rPr>
          <w:rFonts w:hint="eastAsia" w:ascii="仿宋" w:hAnsi="仿宋" w:eastAsia="仿宋" w:cs="仿宋"/>
          <w:b w:val="0"/>
          <w:bCs/>
          <w:sz w:val="28"/>
          <w:szCs w:val="28"/>
          <w:lang w:val="en-US" w:eastAsia="zh-CN"/>
        </w:rPr>
        <w:t xml:space="preserve"> </w:t>
      </w:r>
      <w:bookmarkStart w:id="179" w:name="_Toc28163"/>
    </w:p>
    <w:bookmarkEnd w:id="179"/>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lang w:val="en-US" w:eastAsia="zh-CN"/>
        </w:rPr>
      </w:pPr>
      <w:bookmarkStart w:id="180" w:name="_Toc15663_WPSOffice_Level2"/>
      <w:bookmarkStart w:id="181" w:name="_Toc26569_WPSOffice_Level2"/>
      <w:bookmarkStart w:id="182" w:name="_Toc14824_WPSOffice_Level2"/>
      <w:bookmarkStart w:id="183" w:name="_Toc17158_WPSOffice_Level2"/>
      <w:bookmarkStart w:id="184" w:name="_Toc1191_WPSOffice_Level2"/>
      <w:bookmarkStart w:id="185" w:name="_Toc18520_WPSOffice_Level2"/>
      <w:bookmarkStart w:id="186" w:name="_Toc31567_WPSOffice_Level2"/>
      <w:bookmarkStart w:id="187" w:name="_Toc20280_WPSOffice_Level2"/>
      <w:bookmarkStart w:id="188" w:name="_Toc27750_WPSOffice_Level2"/>
      <w:bookmarkStart w:id="189" w:name="_Toc16206_WPSOffice_Level2"/>
      <w:bookmarkStart w:id="190" w:name="_Toc13363"/>
      <w:r>
        <w:rPr>
          <w:rFonts w:hint="eastAsia" w:ascii="仿宋" w:hAnsi="仿宋" w:eastAsia="仿宋" w:cs="仿宋"/>
          <w:b/>
          <w:sz w:val="28"/>
          <w:szCs w:val="28"/>
          <w:lang w:val="en-US" w:eastAsia="zh-CN"/>
        </w:rPr>
        <w:t>（三）产出情况分析</w:t>
      </w:r>
      <w:bookmarkEnd w:id="180"/>
      <w:bookmarkEnd w:id="181"/>
      <w:bookmarkEnd w:id="182"/>
      <w:bookmarkEnd w:id="183"/>
      <w:bookmarkEnd w:id="184"/>
      <w:bookmarkEnd w:id="185"/>
      <w:bookmarkEnd w:id="186"/>
      <w:bookmarkEnd w:id="187"/>
      <w:bookmarkEnd w:id="188"/>
      <w:bookmarkEnd w:id="189"/>
      <w:bookmarkEnd w:id="190"/>
    </w:p>
    <w:p>
      <w:pPr>
        <w:spacing w:line="560" w:lineRule="exact"/>
        <w:ind w:firstLine="560" w:firstLineChars="200"/>
        <w:rPr>
          <w:rFonts w:hint="eastAsia" w:ascii="仿宋" w:hAnsi="仿宋" w:eastAsia="仿宋" w:cs="仿宋"/>
          <w:sz w:val="28"/>
          <w:szCs w:val="28"/>
          <w:highlight w:val="none"/>
        </w:rPr>
      </w:pPr>
      <w:r>
        <w:rPr>
          <w:rFonts w:hint="eastAsia" w:ascii="仿宋" w:hAnsi="仿宋" w:eastAsia="仿宋" w:cs="仿宋"/>
          <w:b w:val="0"/>
          <w:bCs/>
          <w:sz w:val="28"/>
          <w:szCs w:val="28"/>
          <w:lang w:val="en-US" w:eastAsia="zh-CN"/>
        </w:rPr>
        <w:t>产出情况分别</w:t>
      </w:r>
      <w:r>
        <w:rPr>
          <w:rFonts w:hint="eastAsia" w:ascii="仿宋" w:hAnsi="仿宋" w:eastAsia="仿宋" w:cs="仿宋"/>
          <w:bCs/>
          <w:sz w:val="28"/>
          <w:szCs w:val="28"/>
          <w:highlight w:val="none"/>
          <w:lang w:val="en-US" w:eastAsia="zh-CN"/>
        </w:rPr>
        <w:t>从居民健康档案管理、健康教育、预防接种、儿童健康管理、孕产妇女健康管理、老年人健康管理、慢性病健康管理、严重精神障碍患者管理、结核病患者健康管理、中医药健康管理、传染病和突发公共卫生事件报告和处理、卫生计生监督协管、基本避孕服务、健康素养促进行动、地方病防治、职业病防治、重大疾病与健康危害因素监测、国家随机监督抽查、人口监测19个方面进行评价。</w:t>
      </w:r>
      <w:r>
        <w:rPr>
          <w:rFonts w:hint="eastAsia" w:ascii="仿宋" w:hAnsi="仿宋" w:eastAsia="仿宋" w:cs="仿宋"/>
          <w:sz w:val="28"/>
          <w:szCs w:val="28"/>
        </w:rPr>
        <w:t>共设置</w:t>
      </w:r>
      <w:r>
        <w:rPr>
          <w:rFonts w:hint="eastAsia" w:ascii="仿宋" w:hAnsi="仿宋" w:eastAsia="仿宋" w:cs="仿宋"/>
          <w:sz w:val="28"/>
          <w:szCs w:val="28"/>
          <w:lang w:eastAsia="zh-CN"/>
        </w:rPr>
        <w:t>十</w:t>
      </w:r>
      <w:r>
        <w:rPr>
          <w:rFonts w:hint="eastAsia" w:ascii="仿宋" w:hAnsi="仿宋" w:eastAsia="仿宋" w:cs="仿宋"/>
          <w:sz w:val="28"/>
          <w:szCs w:val="28"/>
          <w:lang w:val="en-US" w:eastAsia="zh-CN"/>
        </w:rPr>
        <w:t>九</w:t>
      </w:r>
      <w:r>
        <w:rPr>
          <w:rFonts w:hint="eastAsia" w:ascii="仿宋" w:hAnsi="仿宋" w:eastAsia="仿宋" w:cs="仿宋"/>
          <w:bCs/>
          <w:sz w:val="28"/>
          <w:szCs w:val="28"/>
          <w:highlight w:val="none"/>
          <w:lang w:val="en-US" w:eastAsia="zh-CN"/>
        </w:rPr>
        <w:t>个二级指标三十四个三级指标</w:t>
      </w:r>
      <w:r>
        <w:rPr>
          <w:rFonts w:hint="eastAsia" w:ascii="仿宋" w:hAnsi="仿宋" w:eastAsia="仿宋" w:cs="仿宋"/>
          <w:sz w:val="28"/>
          <w:szCs w:val="28"/>
          <w:highlight w:val="none"/>
        </w:rPr>
        <w:t>。产出类指标分值</w:t>
      </w:r>
      <w:r>
        <w:rPr>
          <w:rFonts w:hint="eastAsia" w:ascii="仿宋" w:hAnsi="仿宋" w:eastAsia="仿宋" w:cs="仿宋"/>
          <w:sz w:val="28"/>
          <w:szCs w:val="28"/>
          <w:highlight w:val="none"/>
          <w:lang w:val="en-US" w:eastAsia="zh-CN"/>
        </w:rPr>
        <w:t>40</w:t>
      </w:r>
      <w:r>
        <w:rPr>
          <w:rFonts w:hint="eastAsia" w:ascii="仿宋" w:hAnsi="仿宋" w:eastAsia="仿宋" w:cs="仿宋"/>
          <w:sz w:val="28"/>
          <w:szCs w:val="28"/>
          <w:highlight w:val="none"/>
        </w:rPr>
        <w:t>分，实际得分</w:t>
      </w:r>
      <w:r>
        <w:rPr>
          <w:rFonts w:hint="eastAsia" w:ascii="仿宋" w:hAnsi="仿宋" w:eastAsia="仿宋" w:cs="仿宋"/>
          <w:sz w:val="28"/>
          <w:szCs w:val="28"/>
          <w:highlight w:val="none"/>
          <w:lang w:val="en-US" w:eastAsia="zh-CN"/>
        </w:rPr>
        <w:t>28.007</w:t>
      </w:r>
      <w:r>
        <w:rPr>
          <w:rFonts w:hint="eastAsia" w:ascii="仿宋" w:hAnsi="仿宋" w:eastAsia="仿宋" w:cs="仿宋"/>
          <w:sz w:val="28"/>
          <w:szCs w:val="28"/>
          <w:highlight w:val="none"/>
        </w:rPr>
        <w:t>分，得分率</w:t>
      </w:r>
      <w:r>
        <w:rPr>
          <w:rFonts w:hint="eastAsia" w:ascii="仿宋" w:hAnsi="仿宋" w:eastAsia="仿宋" w:cs="仿宋"/>
          <w:sz w:val="28"/>
          <w:szCs w:val="28"/>
          <w:highlight w:val="none"/>
          <w:lang w:val="en-US" w:eastAsia="zh-CN"/>
        </w:rPr>
        <w:t>70.02</w:t>
      </w:r>
      <w:r>
        <w:rPr>
          <w:rFonts w:ascii="仿宋" w:hAnsi="仿宋" w:eastAsia="仿宋" w:cs="仿宋"/>
          <w:sz w:val="28"/>
          <w:szCs w:val="28"/>
          <w:highlight w:val="none"/>
        </w:rPr>
        <w:t>%</w:t>
      </w:r>
      <w:r>
        <w:rPr>
          <w:rFonts w:hint="eastAsia" w:ascii="仿宋" w:hAnsi="仿宋" w:eastAsia="仿宋" w:cs="仿宋"/>
          <w:sz w:val="28"/>
          <w:szCs w:val="28"/>
          <w:highlight w:val="none"/>
        </w:rPr>
        <w:t>。各分项指标得分情况如下表</w:t>
      </w:r>
      <w:r>
        <w:rPr>
          <w:rFonts w:ascii="仿宋" w:hAnsi="仿宋" w:eastAsia="仿宋" w:cs="仿宋"/>
          <w:sz w:val="28"/>
          <w:szCs w:val="28"/>
          <w:highlight w:val="none"/>
        </w:rPr>
        <w:t>所示</w:t>
      </w:r>
      <w:r>
        <w:rPr>
          <w:rFonts w:hint="eastAsia" w:ascii="仿宋" w:hAnsi="仿宋" w:eastAsia="仿宋" w:cs="仿宋"/>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ascii="仿宋" w:hAnsi="仿宋" w:eastAsia="仿宋" w:cs="仿宋"/>
          <w:b/>
          <w:sz w:val="28"/>
          <w:szCs w:val="28"/>
        </w:rPr>
      </w:pPr>
      <w:bookmarkStart w:id="191" w:name="_Toc17655"/>
      <w:r>
        <w:rPr>
          <w:rFonts w:hint="eastAsia" w:ascii="仿宋" w:hAnsi="仿宋" w:eastAsia="仿宋" w:cs="仿宋"/>
          <w:b/>
          <w:sz w:val="28"/>
          <w:szCs w:val="28"/>
        </w:rPr>
        <w:t>表</w:t>
      </w:r>
      <w:r>
        <w:rPr>
          <w:rFonts w:hint="eastAsia" w:ascii="仿宋" w:hAnsi="仿宋" w:eastAsia="仿宋" w:cs="仿宋"/>
          <w:b/>
          <w:sz w:val="28"/>
          <w:szCs w:val="28"/>
          <w:lang w:val="en-US" w:eastAsia="zh-CN"/>
        </w:rPr>
        <w:t>3-4</w:t>
      </w:r>
      <w:r>
        <w:rPr>
          <w:rFonts w:ascii="仿宋" w:hAnsi="仿宋" w:eastAsia="仿宋" w:cs="仿宋"/>
          <w:b/>
          <w:sz w:val="28"/>
          <w:szCs w:val="28"/>
        </w:rPr>
        <w:t xml:space="preserve"> </w:t>
      </w:r>
      <w:r>
        <w:rPr>
          <w:rFonts w:hint="eastAsia" w:ascii="仿宋" w:hAnsi="仿宋" w:eastAsia="仿宋" w:cs="仿宋"/>
          <w:b/>
          <w:sz w:val="28"/>
          <w:szCs w:val="28"/>
          <w:lang w:eastAsia="zh-CN"/>
        </w:rPr>
        <w:t>产出</w:t>
      </w:r>
      <w:r>
        <w:rPr>
          <w:rFonts w:hint="eastAsia" w:ascii="仿宋" w:hAnsi="仿宋" w:eastAsia="仿宋" w:cs="仿宋"/>
          <w:b/>
          <w:sz w:val="28"/>
          <w:szCs w:val="28"/>
        </w:rPr>
        <w:t>类指标得分情况</w:t>
      </w:r>
      <w:bookmarkEnd w:id="191"/>
    </w:p>
    <w:p>
      <w:pPr>
        <w:pStyle w:val="2"/>
      </w:pPr>
    </w:p>
    <w:tbl>
      <w:tblPr>
        <w:tblStyle w:val="14"/>
        <w:tblW w:w="8404" w:type="dxa"/>
        <w:tblInd w:w="0" w:type="dxa"/>
        <w:tblLayout w:type="fixed"/>
        <w:tblCellMar>
          <w:top w:w="0" w:type="dxa"/>
          <w:left w:w="108" w:type="dxa"/>
          <w:bottom w:w="0" w:type="dxa"/>
          <w:right w:w="108" w:type="dxa"/>
        </w:tblCellMar>
      </w:tblPr>
      <w:tblGrid>
        <w:gridCol w:w="1924"/>
        <w:gridCol w:w="4300"/>
        <w:gridCol w:w="1100"/>
        <w:gridCol w:w="1080"/>
      </w:tblGrid>
      <w:tr>
        <w:tblPrEx>
          <w:tblCellMar>
            <w:top w:w="0" w:type="dxa"/>
            <w:left w:w="108" w:type="dxa"/>
            <w:bottom w:w="0" w:type="dxa"/>
            <w:right w:w="108" w:type="dxa"/>
          </w:tblCellMar>
        </w:tblPrEx>
        <w:trPr>
          <w:trHeight w:val="454" w:hRule="atLeast"/>
          <w:tblHeader/>
        </w:trPr>
        <w:tc>
          <w:tcPr>
            <w:tcW w:w="1924"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二级指标</w:t>
            </w:r>
          </w:p>
        </w:tc>
        <w:tc>
          <w:tcPr>
            <w:tcW w:w="4300"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三级指标</w:t>
            </w:r>
          </w:p>
        </w:tc>
        <w:tc>
          <w:tcPr>
            <w:tcW w:w="1100"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权重</w:t>
            </w:r>
          </w:p>
        </w:tc>
        <w:tc>
          <w:tcPr>
            <w:tcW w:w="1080"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得分</w:t>
            </w:r>
          </w:p>
        </w:tc>
      </w:tr>
      <w:tr>
        <w:tblPrEx>
          <w:tblCellMar>
            <w:top w:w="0" w:type="dxa"/>
            <w:left w:w="108" w:type="dxa"/>
            <w:bottom w:w="0" w:type="dxa"/>
            <w:right w:w="108" w:type="dxa"/>
          </w:tblCellMar>
        </w:tblPrEx>
        <w:trPr>
          <w:trHeight w:val="454" w:hRule="atLeast"/>
        </w:trPr>
        <w:tc>
          <w:tcPr>
            <w:tcW w:w="1924"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居民健康档案管理</w:t>
            </w: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电子档案建档率</w:t>
            </w:r>
          </w:p>
        </w:tc>
        <w:tc>
          <w:tcPr>
            <w:tcW w:w="1100" w:type="dxa"/>
            <w:tcBorders>
              <w:top w:val="nil"/>
              <w:left w:val="single" w:color="auto" w:sz="4" w:space="0"/>
              <w:bottom w:val="nil"/>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nil"/>
              <w:left w:val="nil"/>
              <w:bottom w:val="nil"/>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0.50</w:t>
            </w:r>
          </w:p>
        </w:tc>
      </w:tr>
      <w:tr>
        <w:tblPrEx>
          <w:tblCellMar>
            <w:top w:w="0" w:type="dxa"/>
            <w:left w:w="108" w:type="dxa"/>
            <w:bottom w:w="0" w:type="dxa"/>
            <w:right w:w="108" w:type="dxa"/>
          </w:tblCellMar>
        </w:tblPrEx>
        <w:trPr>
          <w:trHeight w:val="454" w:hRule="atLeast"/>
        </w:trPr>
        <w:tc>
          <w:tcPr>
            <w:tcW w:w="1924" w:type="dxa"/>
            <w:vMerge w:val="continue"/>
            <w:tcBorders>
              <w:left w:val="single" w:color="auto" w:sz="4" w:space="0"/>
              <w:bottom w:val="single" w:color="auto" w:sz="4" w:space="0"/>
              <w:right w:val="single" w:color="auto" w:sz="4" w:space="0"/>
            </w:tcBorders>
            <w:vAlign w:val="center"/>
          </w:tcPr>
          <w:p>
            <w:pPr>
              <w:widowControl/>
              <w:rPr>
                <w:rFonts w:hint="eastAsia" w:ascii="仿宋" w:hAnsi="仿宋" w:eastAsia="仿宋" w:cs="仿宋"/>
                <w:kern w:val="0"/>
                <w:sz w:val="24"/>
                <w:szCs w:val="24"/>
              </w:rPr>
            </w:pP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健康档案动态使用率</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0.20</w:t>
            </w:r>
          </w:p>
        </w:tc>
      </w:tr>
      <w:tr>
        <w:tblPrEx>
          <w:tblCellMar>
            <w:top w:w="0" w:type="dxa"/>
            <w:left w:w="108" w:type="dxa"/>
            <w:bottom w:w="0" w:type="dxa"/>
            <w:right w:w="108" w:type="dxa"/>
          </w:tblCellMar>
        </w:tblPrEx>
        <w:trPr>
          <w:trHeight w:val="454" w:hRule="atLeast"/>
        </w:trPr>
        <w:tc>
          <w:tcPr>
            <w:tcW w:w="1924" w:type="dxa"/>
            <w:vMerge w:val="restart"/>
            <w:tcBorders>
              <w:top w:val="single" w:color="auto" w:sz="4" w:space="0"/>
              <w:left w:val="single" w:color="auto" w:sz="4" w:space="0"/>
              <w:right w:val="single" w:color="auto" w:sz="4" w:space="0"/>
            </w:tcBorders>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健康教育</w:t>
            </w: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公众</w:t>
            </w:r>
            <w:r>
              <w:rPr>
                <w:rFonts w:hint="eastAsia" w:ascii="仿宋" w:hAnsi="仿宋" w:eastAsia="仿宋" w:cs="仿宋"/>
                <w:kern w:val="0"/>
                <w:sz w:val="24"/>
                <w:szCs w:val="24"/>
                <w:lang w:eastAsia="zh-CN"/>
              </w:rPr>
              <w:t>健康咨询活动</w:t>
            </w:r>
          </w:p>
        </w:tc>
        <w:tc>
          <w:tcPr>
            <w:tcW w:w="1100" w:type="dxa"/>
            <w:tcBorders>
              <w:top w:val="nil"/>
              <w:left w:val="single" w:color="auto" w:sz="4" w:space="0"/>
              <w:bottom w:val="single" w:color="auto" w:sz="4" w:space="0"/>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nil"/>
              <w:left w:val="nil"/>
              <w:bottom w:val="single" w:color="auto" w:sz="4" w:space="0"/>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0.968</w:t>
            </w:r>
          </w:p>
        </w:tc>
      </w:tr>
      <w:tr>
        <w:tblPrEx>
          <w:tblCellMar>
            <w:top w:w="0" w:type="dxa"/>
            <w:left w:w="108" w:type="dxa"/>
            <w:bottom w:w="0" w:type="dxa"/>
            <w:right w:w="108" w:type="dxa"/>
          </w:tblCellMar>
        </w:tblPrEx>
        <w:trPr>
          <w:trHeight w:val="454" w:hRule="atLeast"/>
        </w:trPr>
        <w:tc>
          <w:tcPr>
            <w:tcW w:w="1924" w:type="dxa"/>
            <w:vMerge w:val="continue"/>
            <w:tcBorders>
              <w:left w:val="single" w:color="auto" w:sz="4" w:space="0"/>
              <w:right w:val="single" w:color="auto" w:sz="4" w:space="0"/>
            </w:tcBorders>
            <w:vAlign w:val="center"/>
          </w:tcPr>
          <w:p>
            <w:pPr>
              <w:widowControl/>
              <w:rPr>
                <w:rFonts w:hint="eastAsia" w:ascii="仿宋" w:hAnsi="仿宋" w:eastAsia="仿宋" w:cs="仿宋"/>
                <w:kern w:val="0"/>
                <w:sz w:val="24"/>
                <w:szCs w:val="24"/>
              </w:rPr>
            </w:pP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健康知识讲座</w:t>
            </w:r>
          </w:p>
        </w:tc>
        <w:tc>
          <w:tcPr>
            <w:tcW w:w="1100" w:type="dxa"/>
            <w:tcBorders>
              <w:top w:val="nil"/>
              <w:left w:val="single" w:color="auto" w:sz="4" w:space="0"/>
              <w:bottom w:val="single" w:color="auto" w:sz="4" w:space="0"/>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nil"/>
              <w:left w:val="nil"/>
              <w:bottom w:val="single" w:color="auto" w:sz="4" w:space="0"/>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0.745</w:t>
            </w:r>
          </w:p>
        </w:tc>
      </w:tr>
      <w:tr>
        <w:tblPrEx>
          <w:tblCellMar>
            <w:top w:w="0" w:type="dxa"/>
            <w:left w:w="108" w:type="dxa"/>
            <w:bottom w:w="0" w:type="dxa"/>
            <w:right w:w="108" w:type="dxa"/>
          </w:tblCellMar>
        </w:tblPrEx>
        <w:trPr>
          <w:trHeight w:val="454" w:hRule="atLeast"/>
        </w:trPr>
        <w:tc>
          <w:tcPr>
            <w:tcW w:w="1924" w:type="dxa"/>
            <w:vMerge w:val="continue"/>
            <w:tcBorders>
              <w:left w:val="single" w:color="auto" w:sz="4" w:space="0"/>
              <w:right w:val="single" w:color="auto" w:sz="4" w:space="0"/>
            </w:tcBorders>
            <w:vAlign w:val="center"/>
          </w:tcPr>
          <w:p>
            <w:pPr>
              <w:widowControl/>
              <w:rPr>
                <w:rFonts w:hint="eastAsia" w:ascii="仿宋" w:hAnsi="仿宋" w:eastAsia="仿宋" w:cs="仿宋"/>
                <w:kern w:val="0"/>
                <w:sz w:val="24"/>
                <w:szCs w:val="24"/>
              </w:rPr>
            </w:pP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健康教育</w:t>
            </w:r>
            <w:r>
              <w:rPr>
                <w:rFonts w:hint="eastAsia" w:ascii="仿宋" w:hAnsi="仿宋" w:eastAsia="仿宋" w:cs="仿宋"/>
                <w:kern w:val="0"/>
                <w:sz w:val="24"/>
                <w:szCs w:val="24"/>
                <w:lang w:val="en-US" w:eastAsia="zh-CN"/>
              </w:rPr>
              <w:t>宣传栏设置</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0.95</w:t>
            </w:r>
          </w:p>
        </w:tc>
      </w:tr>
      <w:tr>
        <w:tblPrEx>
          <w:tblCellMar>
            <w:top w:w="0" w:type="dxa"/>
            <w:left w:w="108" w:type="dxa"/>
            <w:bottom w:w="0" w:type="dxa"/>
            <w:right w:w="108" w:type="dxa"/>
          </w:tblCellMar>
        </w:tblPrEx>
        <w:trPr>
          <w:trHeight w:val="454" w:hRule="atLeast"/>
        </w:trPr>
        <w:tc>
          <w:tcPr>
            <w:tcW w:w="1924" w:type="dxa"/>
            <w:vMerge w:val="continue"/>
            <w:tcBorders>
              <w:left w:val="single" w:color="auto" w:sz="4" w:space="0"/>
              <w:bottom w:val="single" w:color="auto" w:sz="4" w:space="0"/>
              <w:right w:val="single" w:color="auto" w:sz="4" w:space="0"/>
            </w:tcBorders>
            <w:vAlign w:val="center"/>
          </w:tcPr>
          <w:p>
            <w:pPr>
              <w:widowControl/>
              <w:rPr>
                <w:rFonts w:hint="eastAsia" w:ascii="仿宋" w:hAnsi="仿宋" w:eastAsia="仿宋" w:cs="仿宋"/>
                <w:kern w:val="0"/>
                <w:sz w:val="24"/>
                <w:szCs w:val="24"/>
              </w:rPr>
            </w:pP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健康教育宣传资料</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0.816</w:t>
            </w:r>
          </w:p>
        </w:tc>
      </w:tr>
      <w:tr>
        <w:tblPrEx>
          <w:tblCellMar>
            <w:top w:w="0" w:type="dxa"/>
            <w:left w:w="108" w:type="dxa"/>
            <w:bottom w:w="0" w:type="dxa"/>
            <w:right w:w="108" w:type="dxa"/>
          </w:tblCellMar>
        </w:tblPrEx>
        <w:trPr>
          <w:trHeight w:val="454" w:hRule="atLeast"/>
        </w:trPr>
        <w:tc>
          <w:tcPr>
            <w:tcW w:w="1924"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预防接种</w:t>
            </w: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建证率</w:t>
            </w:r>
          </w:p>
        </w:tc>
        <w:tc>
          <w:tcPr>
            <w:tcW w:w="1100" w:type="dxa"/>
            <w:tcBorders>
              <w:top w:val="single" w:color="auto" w:sz="4" w:space="0"/>
              <w:left w:val="single" w:color="auto" w:sz="4" w:space="0"/>
              <w:bottom w:val="nil"/>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single" w:color="auto" w:sz="4" w:space="0"/>
              <w:left w:val="nil"/>
              <w:bottom w:val="nil"/>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r>
      <w:tr>
        <w:tblPrEx>
          <w:tblCellMar>
            <w:top w:w="0" w:type="dxa"/>
            <w:left w:w="108" w:type="dxa"/>
            <w:bottom w:w="0" w:type="dxa"/>
            <w:right w:w="108" w:type="dxa"/>
          </w:tblCellMar>
        </w:tblPrEx>
        <w:trPr>
          <w:trHeight w:val="454" w:hRule="atLeast"/>
        </w:trPr>
        <w:tc>
          <w:tcPr>
            <w:tcW w:w="1924" w:type="dxa"/>
            <w:vMerge w:val="continue"/>
            <w:tcBorders>
              <w:left w:val="single" w:color="auto" w:sz="4" w:space="0"/>
              <w:right w:val="single" w:color="auto" w:sz="4" w:space="0"/>
            </w:tcBorders>
            <w:shd w:val="clear" w:color="auto" w:fill="auto"/>
            <w:vAlign w:val="center"/>
          </w:tcPr>
          <w:p>
            <w:pPr>
              <w:jc w:val="center"/>
              <w:rPr>
                <w:rFonts w:hint="eastAsia" w:ascii="仿宋" w:hAnsi="仿宋" w:eastAsia="仿宋" w:cs="仿宋"/>
                <w:kern w:val="0"/>
                <w:sz w:val="24"/>
                <w:szCs w:val="24"/>
                <w:lang w:eastAsia="zh-CN"/>
              </w:rPr>
            </w:pP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疫苗接种率</w:t>
            </w:r>
          </w:p>
        </w:tc>
        <w:tc>
          <w:tcPr>
            <w:tcW w:w="1100" w:type="dxa"/>
            <w:tcBorders>
              <w:top w:val="single" w:color="auto" w:sz="4" w:space="0"/>
              <w:left w:val="single" w:color="auto" w:sz="4" w:space="0"/>
              <w:bottom w:val="nil"/>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2.00</w:t>
            </w:r>
          </w:p>
        </w:tc>
        <w:tc>
          <w:tcPr>
            <w:tcW w:w="1080" w:type="dxa"/>
            <w:tcBorders>
              <w:top w:val="single" w:color="auto" w:sz="4" w:space="0"/>
              <w:left w:val="nil"/>
              <w:bottom w:val="nil"/>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1.412</w:t>
            </w:r>
          </w:p>
        </w:tc>
      </w:tr>
      <w:tr>
        <w:tblPrEx>
          <w:tblCellMar>
            <w:top w:w="0" w:type="dxa"/>
            <w:left w:w="108" w:type="dxa"/>
            <w:bottom w:w="0" w:type="dxa"/>
            <w:right w:w="108" w:type="dxa"/>
          </w:tblCellMar>
        </w:tblPrEx>
        <w:trPr>
          <w:trHeight w:val="454" w:hRule="atLeast"/>
        </w:trPr>
        <w:tc>
          <w:tcPr>
            <w:tcW w:w="1924" w:type="dxa"/>
            <w:vMerge w:val="restart"/>
            <w:tcBorders>
              <w:top w:val="single" w:color="auto" w:sz="4" w:space="0"/>
              <w:left w:val="single" w:color="auto" w:sz="4" w:space="0"/>
              <w:right w:val="single" w:color="auto" w:sz="4" w:space="0"/>
            </w:tcBorders>
            <w:shd w:val="clear" w:color="auto" w:fill="auto"/>
            <w:vAlign w:val="center"/>
          </w:tcPr>
          <w:p>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儿童健康管理</w:t>
            </w: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新生儿访视率</w:t>
            </w:r>
          </w:p>
        </w:tc>
        <w:tc>
          <w:tcPr>
            <w:tcW w:w="1100" w:type="dxa"/>
            <w:tcBorders>
              <w:top w:val="single" w:color="auto" w:sz="4" w:space="0"/>
              <w:left w:val="single" w:color="auto" w:sz="4" w:space="0"/>
              <w:bottom w:val="nil"/>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2.00</w:t>
            </w:r>
          </w:p>
        </w:tc>
        <w:tc>
          <w:tcPr>
            <w:tcW w:w="1080" w:type="dxa"/>
            <w:tcBorders>
              <w:top w:val="single" w:color="auto" w:sz="4" w:space="0"/>
              <w:left w:val="nil"/>
              <w:bottom w:val="nil"/>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1.21</w:t>
            </w:r>
          </w:p>
        </w:tc>
      </w:tr>
      <w:tr>
        <w:tblPrEx>
          <w:tblCellMar>
            <w:top w:w="0" w:type="dxa"/>
            <w:left w:w="108" w:type="dxa"/>
            <w:bottom w:w="0" w:type="dxa"/>
            <w:right w:w="108" w:type="dxa"/>
          </w:tblCellMar>
        </w:tblPrEx>
        <w:trPr>
          <w:trHeight w:val="454" w:hRule="atLeast"/>
        </w:trPr>
        <w:tc>
          <w:tcPr>
            <w:tcW w:w="1924" w:type="dxa"/>
            <w:vMerge w:val="continue"/>
            <w:tcBorders>
              <w:left w:val="single" w:color="auto" w:sz="4" w:space="0"/>
              <w:bottom w:val="single" w:color="auto" w:sz="4" w:space="0"/>
              <w:right w:val="single" w:color="auto" w:sz="4" w:space="0"/>
            </w:tcBorders>
            <w:vAlign w:val="center"/>
          </w:tcPr>
          <w:p>
            <w:pPr>
              <w:widowControl/>
              <w:rPr>
                <w:rFonts w:hint="eastAsia" w:ascii="仿宋" w:hAnsi="仿宋" w:eastAsia="仿宋" w:cs="仿宋"/>
                <w:kern w:val="0"/>
                <w:sz w:val="24"/>
                <w:szCs w:val="24"/>
              </w:rPr>
            </w:pP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儿童健康管理率</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2.00</w:t>
            </w:r>
          </w:p>
        </w:tc>
      </w:tr>
      <w:tr>
        <w:tblPrEx>
          <w:tblCellMar>
            <w:top w:w="0" w:type="dxa"/>
            <w:left w:w="108" w:type="dxa"/>
            <w:bottom w:w="0" w:type="dxa"/>
            <w:right w:w="108" w:type="dxa"/>
          </w:tblCellMar>
        </w:tblPrEx>
        <w:trPr>
          <w:trHeight w:val="454" w:hRule="atLeast"/>
        </w:trPr>
        <w:tc>
          <w:tcPr>
            <w:tcW w:w="1924" w:type="dxa"/>
            <w:vMerge w:val="restart"/>
            <w:tcBorders>
              <w:top w:val="single" w:color="auto" w:sz="4" w:space="0"/>
              <w:left w:val="single" w:color="auto" w:sz="4" w:space="0"/>
              <w:right w:val="single" w:color="auto" w:sz="4" w:space="0"/>
            </w:tcBorders>
            <w:vAlign w:val="center"/>
          </w:tcPr>
          <w:p>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孕、产、妇</w:t>
            </w:r>
            <w:r>
              <w:rPr>
                <w:rFonts w:hint="eastAsia" w:ascii="仿宋" w:hAnsi="仿宋" w:eastAsia="仿宋" w:cs="仿宋"/>
                <w:kern w:val="0"/>
                <w:sz w:val="24"/>
                <w:szCs w:val="24"/>
                <w:lang w:val="en-US" w:eastAsia="zh-CN"/>
              </w:rPr>
              <w:t>女</w:t>
            </w:r>
            <w:r>
              <w:rPr>
                <w:rFonts w:hint="eastAsia" w:ascii="仿宋" w:hAnsi="仿宋" w:eastAsia="仿宋" w:cs="仿宋"/>
                <w:kern w:val="0"/>
                <w:sz w:val="24"/>
                <w:szCs w:val="24"/>
                <w:lang w:eastAsia="zh-CN"/>
              </w:rPr>
              <w:t>健康管理</w:t>
            </w: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孕产妇健康管理</w:t>
            </w:r>
          </w:p>
        </w:tc>
        <w:tc>
          <w:tcPr>
            <w:tcW w:w="1100" w:type="dxa"/>
            <w:tcBorders>
              <w:top w:val="nil"/>
              <w:left w:val="single" w:color="auto" w:sz="4" w:space="0"/>
              <w:bottom w:val="single" w:color="auto" w:sz="4" w:space="0"/>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2.00</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1.055</w:t>
            </w:r>
          </w:p>
        </w:tc>
      </w:tr>
      <w:tr>
        <w:tblPrEx>
          <w:tblCellMar>
            <w:top w:w="0" w:type="dxa"/>
            <w:left w:w="108" w:type="dxa"/>
            <w:bottom w:w="0" w:type="dxa"/>
            <w:right w:w="108" w:type="dxa"/>
          </w:tblCellMar>
        </w:tblPrEx>
        <w:trPr>
          <w:trHeight w:val="454" w:hRule="atLeast"/>
        </w:trPr>
        <w:tc>
          <w:tcPr>
            <w:tcW w:w="1924" w:type="dxa"/>
            <w:vMerge w:val="continue"/>
            <w:tcBorders>
              <w:left w:val="single" w:color="auto" w:sz="4" w:space="0"/>
              <w:right w:val="single" w:color="auto" w:sz="4" w:space="0"/>
            </w:tcBorders>
            <w:vAlign w:val="center"/>
          </w:tcPr>
          <w:p>
            <w:pPr>
              <w:widowControl/>
              <w:rPr>
                <w:rFonts w:hint="eastAsia" w:ascii="仿宋" w:hAnsi="仿宋" w:eastAsia="仿宋" w:cs="仿宋"/>
                <w:kern w:val="0"/>
                <w:sz w:val="24"/>
                <w:szCs w:val="24"/>
              </w:rPr>
            </w:pP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农村妇女“两癌”检查</w:t>
            </w:r>
          </w:p>
        </w:tc>
        <w:tc>
          <w:tcPr>
            <w:tcW w:w="1100" w:type="dxa"/>
            <w:tcBorders>
              <w:top w:val="nil"/>
              <w:left w:val="single" w:color="auto" w:sz="4" w:space="0"/>
              <w:bottom w:val="nil"/>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2.00</w:t>
            </w:r>
          </w:p>
        </w:tc>
        <w:tc>
          <w:tcPr>
            <w:tcW w:w="1080" w:type="dxa"/>
            <w:tcBorders>
              <w:top w:val="nil"/>
              <w:left w:val="nil"/>
              <w:bottom w:val="nil"/>
              <w:right w:val="single" w:color="auto" w:sz="4" w:space="0"/>
            </w:tcBorders>
            <w:shd w:val="clear" w:color="auto" w:fill="auto"/>
            <w:noWrap/>
            <w:vAlign w:val="center"/>
          </w:tcPr>
          <w:p>
            <w:pPr>
              <w:widowControl/>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1.90</w:t>
            </w:r>
          </w:p>
        </w:tc>
      </w:tr>
      <w:tr>
        <w:tblPrEx>
          <w:tblCellMar>
            <w:top w:w="0" w:type="dxa"/>
            <w:left w:w="108" w:type="dxa"/>
            <w:bottom w:w="0" w:type="dxa"/>
            <w:right w:w="108" w:type="dxa"/>
          </w:tblCellMar>
        </w:tblPrEx>
        <w:trPr>
          <w:trHeight w:val="454" w:hRule="atLeast"/>
        </w:trPr>
        <w:tc>
          <w:tcPr>
            <w:tcW w:w="1924" w:type="dxa"/>
            <w:vMerge w:val="continue"/>
            <w:tcBorders>
              <w:left w:val="single" w:color="auto" w:sz="4" w:space="0"/>
              <w:right w:val="single" w:color="auto" w:sz="4" w:space="0"/>
            </w:tcBorders>
            <w:vAlign w:val="center"/>
          </w:tcPr>
          <w:p>
            <w:pPr>
              <w:jc w:val="center"/>
              <w:rPr>
                <w:rFonts w:hint="eastAsia" w:ascii="仿宋" w:hAnsi="仿宋" w:eastAsia="仿宋" w:cs="仿宋"/>
                <w:kern w:val="0"/>
                <w:sz w:val="24"/>
                <w:szCs w:val="24"/>
                <w:lang w:eastAsia="zh-CN"/>
              </w:rPr>
            </w:pP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增补叶酸预防神经管缺陷</w:t>
            </w:r>
          </w:p>
        </w:tc>
        <w:tc>
          <w:tcPr>
            <w:tcW w:w="1100" w:type="dxa"/>
            <w:tcBorders>
              <w:top w:val="single" w:color="auto" w:sz="4" w:space="0"/>
              <w:left w:val="single" w:color="auto" w:sz="4" w:space="0"/>
              <w:bottom w:val="nil"/>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single" w:color="auto" w:sz="4" w:space="0"/>
              <w:left w:val="nil"/>
              <w:bottom w:val="nil"/>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0.978</w:t>
            </w:r>
          </w:p>
        </w:tc>
      </w:tr>
      <w:tr>
        <w:tblPrEx>
          <w:tblCellMar>
            <w:top w:w="0" w:type="dxa"/>
            <w:left w:w="108" w:type="dxa"/>
            <w:bottom w:w="0" w:type="dxa"/>
            <w:right w:w="108" w:type="dxa"/>
          </w:tblCellMar>
        </w:tblPrEx>
        <w:trPr>
          <w:trHeight w:val="454" w:hRule="atLeast"/>
        </w:trPr>
        <w:tc>
          <w:tcPr>
            <w:tcW w:w="1924" w:type="dxa"/>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4"/>
                <w:szCs w:val="24"/>
                <w:lang w:eastAsia="zh-CN"/>
              </w:rPr>
            </w:pP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免费孕前优生健康检查</w:t>
            </w:r>
          </w:p>
        </w:tc>
        <w:tc>
          <w:tcPr>
            <w:tcW w:w="1100" w:type="dxa"/>
            <w:tcBorders>
              <w:top w:val="single" w:color="auto" w:sz="4" w:space="0"/>
              <w:left w:val="single" w:color="auto" w:sz="4" w:space="0"/>
              <w:bottom w:val="nil"/>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single" w:color="auto" w:sz="4" w:space="0"/>
              <w:left w:val="nil"/>
              <w:bottom w:val="nil"/>
              <w:right w:val="single" w:color="auto" w:sz="4" w:space="0"/>
            </w:tcBorders>
            <w:shd w:val="clear" w:color="auto" w:fill="auto"/>
            <w:noWrap/>
            <w:vAlign w:val="center"/>
          </w:tcPr>
          <w:p>
            <w:pPr>
              <w:widowControl/>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0.50</w:t>
            </w:r>
          </w:p>
        </w:tc>
      </w:tr>
      <w:tr>
        <w:tblPrEx>
          <w:tblCellMar>
            <w:top w:w="0" w:type="dxa"/>
            <w:left w:w="108" w:type="dxa"/>
            <w:bottom w:w="0" w:type="dxa"/>
            <w:right w:w="108" w:type="dxa"/>
          </w:tblCellMar>
        </w:tblPrEx>
        <w:trPr>
          <w:trHeight w:val="454" w:hRule="atLeast"/>
        </w:trPr>
        <w:tc>
          <w:tcPr>
            <w:tcW w:w="1924" w:type="dxa"/>
            <w:vMerge w:val="restart"/>
            <w:tcBorders>
              <w:top w:val="single" w:color="auto" w:sz="4" w:space="0"/>
              <w:left w:val="single" w:color="auto" w:sz="4" w:space="0"/>
              <w:right w:val="single" w:color="auto" w:sz="4" w:space="0"/>
            </w:tcBorders>
            <w:vAlign w:val="center"/>
          </w:tcPr>
          <w:p>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老年人健康管理</w:t>
            </w: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老年人健康管理率</w:t>
            </w:r>
          </w:p>
        </w:tc>
        <w:tc>
          <w:tcPr>
            <w:tcW w:w="1100" w:type="dxa"/>
            <w:tcBorders>
              <w:top w:val="single" w:color="auto" w:sz="4" w:space="0"/>
              <w:left w:val="single" w:color="auto" w:sz="4" w:space="0"/>
              <w:bottom w:val="nil"/>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2.00</w:t>
            </w:r>
          </w:p>
        </w:tc>
        <w:tc>
          <w:tcPr>
            <w:tcW w:w="1080" w:type="dxa"/>
            <w:tcBorders>
              <w:top w:val="single" w:color="auto" w:sz="4" w:space="0"/>
              <w:left w:val="nil"/>
              <w:bottom w:val="nil"/>
              <w:right w:val="single" w:color="auto" w:sz="4" w:space="0"/>
            </w:tcBorders>
            <w:shd w:val="clear" w:color="auto" w:fill="auto"/>
            <w:noWrap/>
            <w:vAlign w:val="center"/>
          </w:tcPr>
          <w:p>
            <w:pPr>
              <w:widowControl/>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1.164</w:t>
            </w:r>
          </w:p>
        </w:tc>
      </w:tr>
      <w:tr>
        <w:tblPrEx>
          <w:tblCellMar>
            <w:top w:w="0" w:type="dxa"/>
            <w:left w:w="108" w:type="dxa"/>
            <w:bottom w:w="0" w:type="dxa"/>
            <w:right w:w="108" w:type="dxa"/>
          </w:tblCellMar>
        </w:tblPrEx>
        <w:trPr>
          <w:trHeight w:val="454" w:hRule="atLeast"/>
        </w:trPr>
        <w:tc>
          <w:tcPr>
            <w:tcW w:w="1924" w:type="dxa"/>
            <w:vMerge w:val="continue"/>
            <w:tcBorders>
              <w:left w:val="single" w:color="auto" w:sz="4" w:space="0"/>
              <w:right w:val="single" w:color="auto" w:sz="4" w:space="0"/>
            </w:tcBorders>
            <w:vAlign w:val="center"/>
          </w:tcPr>
          <w:p>
            <w:pPr>
              <w:jc w:val="center"/>
              <w:rPr>
                <w:rFonts w:hint="eastAsia" w:ascii="仿宋" w:hAnsi="仿宋" w:eastAsia="仿宋" w:cs="仿宋"/>
                <w:kern w:val="0"/>
                <w:sz w:val="24"/>
                <w:szCs w:val="24"/>
                <w:lang w:eastAsia="zh-CN"/>
              </w:rPr>
            </w:pP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老年健康与医养结合</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0.20</w:t>
            </w:r>
          </w:p>
        </w:tc>
      </w:tr>
      <w:tr>
        <w:tblPrEx>
          <w:tblCellMar>
            <w:top w:w="0" w:type="dxa"/>
            <w:left w:w="108" w:type="dxa"/>
            <w:bottom w:w="0" w:type="dxa"/>
            <w:right w:w="108" w:type="dxa"/>
          </w:tblCellMar>
        </w:tblPrEx>
        <w:trPr>
          <w:trHeight w:val="454" w:hRule="atLeast"/>
        </w:trPr>
        <w:tc>
          <w:tcPr>
            <w:tcW w:w="1924" w:type="dxa"/>
            <w:vMerge w:val="restart"/>
            <w:tcBorders>
              <w:top w:val="single" w:color="auto" w:sz="4" w:space="0"/>
              <w:left w:val="single" w:color="auto" w:sz="4" w:space="0"/>
              <w:right w:val="single" w:color="auto" w:sz="4" w:space="0"/>
            </w:tcBorders>
            <w:vAlign w:val="center"/>
          </w:tcPr>
          <w:p>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慢性病健康管理</w:t>
            </w: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高血压患者规范管理率</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1.086</w:t>
            </w:r>
          </w:p>
        </w:tc>
      </w:tr>
      <w:tr>
        <w:tblPrEx>
          <w:tblCellMar>
            <w:top w:w="0" w:type="dxa"/>
            <w:left w:w="108" w:type="dxa"/>
            <w:bottom w:w="0" w:type="dxa"/>
            <w:right w:w="108" w:type="dxa"/>
          </w:tblCellMar>
        </w:tblPrEx>
        <w:trPr>
          <w:trHeight w:val="454" w:hRule="atLeast"/>
        </w:trPr>
        <w:tc>
          <w:tcPr>
            <w:tcW w:w="1924" w:type="dxa"/>
            <w:vMerge w:val="continue"/>
            <w:tcBorders>
              <w:left w:val="single" w:color="auto" w:sz="4" w:space="0"/>
              <w:bottom w:val="single" w:color="auto" w:sz="4" w:space="0"/>
              <w:right w:val="single" w:color="auto" w:sz="4" w:space="0"/>
            </w:tcBorders>
            <w:vAlign w:val="center"/>
          </w:tcPr>
          <w:p>
            <w:pPr>
              <w:widowControl/>
              <w:rPr>
                <w:rFonts w:hint="eastAsia" w:ascii="仿宋" w:hAnsi="仿宋" w:eastAsia="仿宋" w:cs="仿宋"/>
                <w:kern w:val="0"/>
                <w:sz w:val="24"/>
                <w:szCs w:val="24"/>
              </w:rPr>
            </w:pP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 xml:space="preserve"> 2型糖尿病患者规范管理率</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1.069</w:t>
            </w:r>
          </w:p>
        </w:tc>
      </w:tr>
      <w:tr>
        <w:tblPrEx>
          <w:tblCellMar>
            <w:top w:w="0" w:type="dxa"/>
            <w:left w:w="108" w:type="dxa"/>
            <w:bottom w:w="0" w:type="dxa"/>
            <w:right w:w="108" w:type="dxa"/>
          </w:tblCellMar>
        </w:tblPrEx>
        <w:trPr>
          <w:trHeight w:val="454" w:hRule="atLeast"/>
        </w:trPr>
        <w:tc>
          <w:tcPr>
            <w:tcW w:w="19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严重精神障碍患者管理</w:t>
            </w: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严重精神障碍患者规范管理率</w:t>
            </w:r>
          </w:p>
        </w:tc>
        <w:tc>
          <w:tcPr>
            <w:tcW w:w="1100" w:type="dxa"/>
            <w:tcBorders>
              <w:top w:val="nil"/>
              <w:left w:val="single" w:color="auto" w:sz="4" w:space="0"/>
              <w:bottom w:val="single" w:color="auto" w:sz="4" w:space="0"/>
              <w:right w:val="single" w:color="auto" w:sz="4" w:space="0"/>
            </w:tcBorders>
            <w:shd w:val="clear" w:color="auto" w:fill="auto"/>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nil"/>
              <w:left w:val="nil"/>
              <w:bottom w:val="single" w:color="auto" w:sz="4" w:space="0"/>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0.864</w:t>
            </w:r>
          </w:p>
        </w:tc>
      </w:tr>
      <w:tr>
        <w:tblPrEx>
          <w:tblCellMar>
            <w:top w:w="0" w:type="dxa"/>
            <w:left w:w="108" w:type="dxa"/>
            <w:bottom w:w="0" w:type="dxa"/>
            <w:right w:w="108" w:type="dxa"/>
          </w:tblCellMar>
        </w:tblPrEx>
        <w:trPr>
          <w:trHeight w:val="454" w:hRule="atLeast"/>
        </w:trPr>
        <w:tc>
          <w:tcPr>
            <w:tcW w:w="19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结核病患者健康管理</w:t>
            </w:r>
          </w:p>
        </w:tc>
        <w:tc>
          <w:tcPr>
            <w:tcW w:w="43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结核病患者健康管理</w:t>
            </w:r>
          </w:p>
        </w:tc>
        <w:tc>
          <w:tcPr>
            <w:tcW w:w="1100" w:type="dxa"/>
            <w:tcBorders>
              <w:top w:val="nil"/>
              <w:left w:val="single" w:color="auto" w:sz="4" w:space="0"/>
              <w:bottom w:val="single" w:color="auto" w:sz="4" w:space="0"/>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nil"/>
              <w:left w:val="nil"/>
              <w:bottom w:val="single" w:color="auto" w:sz="4" w:space="0"/>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r>
      <w:tr>
        <w:tblPrEx>
          <w:tblCellMar>
            <w:top w:w="0" w:type="dxa"/>
            <w:left w:w="108" w:type="dxa"/>
            <w:bottom w:w="0" w:type="dxa"/>
            <w:right w:w="108" w:type="dxa"/>
          </w:tblCellMar>
        </w:tblPrEx>
        <w:trPr>
          <w:trHeight w:val="454" w:hRule="atLeast"/>
        </w:trPr>
        <w:tc>
          <w:tcPr>
            <w:tcW w:w="1924" w:type="dxa"/>
            <w:vMerge w:val="restart"/>
            <w:tcBorders>
              <w:top w:val="single" w:color="auto" w:sz="4" w:space="0"/>
              <w:left w:val="single" w:color="auto" w:sz="4" w:space="0"/>
              <w:right w:val="single" w:color="auto" w:sz="4" w:space="0"/>
            </w:tcBorders>
            <w:shd w:val="clear" w:color="auto" w:fill="auto"/>
            <w:vAlign w:val="center"/>
          </w:tcPr>
          <w:p>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中医药健康管理</w:t>
            </w:r>
          </w:p>
        </w:tc>
        <w:tc>
          <w:tcPr>
            <w:tcW w:w="4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老年人中医药健康管理率</w:t>
            </w:r>
          </w:p>
        </w:tc>
        <w:tc>
          <w:tcPr>
            <w:tcW w:w="1100" w:type="dxa"/>
            <w:tcBorders>
              <w:top w:val="nil"/>
              <w:left w:val="single" w:color="auto" w:sz="4" w:space="0"/>
              <w:bottom w:val="single" w:color="auto" w:sz="4" w:space="0"/>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nil"/>
              <w:left w:val="nil"/>
              <w:bottom w:val="single" w:color="auto" w:sz="4" w:space="0"/>
              <w:right w:val="single" w:color="auto" w:sz="4" w:space="0"/>
            </w:tcBorders>
            <w:shd w:val="clear" w:color="auto" w:fill="auto"/>
            <w:noWrap/>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0.476</w:t>
            </w:r>
          </w:p>
        </w:tc>
      </w:tr>
      <w:tr>
        <w:tblPrEx>
          <w:tblCellMar>
            <w:top w:w="0" w:type="dxa"/>
            <w:left w:w="108" w:type="dxa"/>
            <w:bottom w:w="0" w:type="dxa"/>
            <w:right w:w="108" w:type="dxa"/>
          </w:tblCellMar>
        </w:tblPrEx>
        <w:trPr>
          <w:trHeight w:val="454" w:hRule="atLeast"/>
        </w:trPr>
        <w:tc>
          <w:tcPr>
            <w:tcW w:w="1924" w:type="dxa"/>
            <w:vMerge w:val="continue"/>
            <w:tcBorders>
              <w:left w:val="single" w:color="auto" w:sz="4" w:space="0"/>
              <w:bottom w:val="single" w:color="auto" w:sz="4" w:space="0"/>
              <w:right w:val="single" w:color="auto" w:sz="4" w:space="0"/>
            </w:tcBorders>
          </w:tcPr>
          <w:p>
            <w:pPr>
              <w:widowControl/>
              <w:jc w:val="center"/>
              <w:rPr>
                <w:rFonts w:hint="eastAsia" w:ascii="仿宋" w:hAnsi="仿宋" w:eastAsia="仿宋" w:cs="仿宋"/>
                <w:b/>
                <w:kern w:val="0"/>
                <w:sz w:val="24"/>
                <w:szCs w:val="24"/>
              </w:rPr>
            </w:pPr>
          </w:p>
        </w:tc>
        <w:tc>
          <w:tcPr>
            <w:tcW w:w="430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 xml:space="preserve"> 0-36个月儿童</w:t>
            </w:r>
            <w:r>
              <w:rPr>
                <w:rFonts w:hint="eastAsia" w:ascii="仿宋" w:hAnsi="仿宋" w:eastAsia="仿宋" w:cs="仿宋"/>
                <w:kern w:val="0"/>
                <w:sz w:val="24"/>
                <w:szCs w:val="24"/>
                <w:lang w:eastAsia="zh-CN"/>
              </w:rPr>
              <w:t>中医药健康管理率</w:t>
            </w:r>
          </w:p>
        </w:tc>
        <w:tc>
          <w:tcPr>
            <w:tcW w:w="1100" w:type="dxa"/>
            <w:tcBorders>
              <w:top w:val="single" w:color="auto" w:sz="4" w:space="0"/>
              <w:left w:val="single" w:color="auto" w:sz="4" w:space="0"/>
              <w:bottom w:val="single" w:color="auto" w:sz="4" w:space="0"/>
              <w:right w:val="single" w:color="auto" w:sz="4" w:space="0"/>
            </w:tcBorders>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0.33</w:t>
            </w:r>
          </w:p>
        </w:tc>
      </w:tr>
      <w:tr>
        <w:tblPrEx>
          <w:tblCellMar>
            <w:top w:w="0" w:type="dxa"/>
            <w:left w:w="108" w:type="dxa"/>
            <w:bottom w:w="0" w:type="dxa"/>
            <w:right w:w="108" w:type="dxa"/>
          </w:tblCellMar>
        </w:tblPrEx>
        <w:trPr>
          <w:trHeight w:val="454" w:hRule="atLeast"/>
        </w:trPr>
        <w:tc>
          <w:tcPr>
            <w:tcW w:w="1924" w:type="dxa"/>
            <w:tcBorders>
              <w:top w:val="single" w:color="auto" w:sz="4" w:space="0"/>
              <w:left w:val="single" w:color="auto" w:sz="4" w:space="0"/>
              <w:right w:val="single" w:color="auto" w:sz="4" w:space="0"/>
            </w:tcBorders>
            <w:vAlign w:val="center"/>
          </w:tcPr>
          <w:p>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传染病和突发公共卫生事件报告和处理</w:t>
            </w:r>
          </w:p>
        </w:tc>
        <w:tc>
          <w:tcPr>
            <w:tcW w:w="430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传染病和突发公共卫生事件报告和处理</w:t>
            </w:r>
          </w:p>
        </w:tc>
        <w:tc>
          <w:tcPr>
            <w:tcW w:w="1100" w:type="dxa"/>
            <w:tcBorders>
              <w:top w:val="single" w:color="auto" w:sz="4" w:space="0"/>
              <w:left w:val="single" w:color="auto" w:sz="4" w:space="0"/>
              <w:bottom w:val="single" w:color="auto" w:sz="4" w:space="0"/>
              <w:right w:val="single" w:color="auto" w:sz="4" w:space="0"/>
            </w:tcBorders>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2.00</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ind w:right="162" w:rightChars="77"/>
              <w:jc w:val="right"/>
              <w:rPr>
                <w:rFonts w:hint="default" w:ascii="仿宋" w:hAnsi="仿宋" w:eastAsia="仿宋" w:cs="仿宋"/>
                <w:b w:val="0"/>
                <w:bCs/>
                <w:kern w:val="0"/>
                <w:sz w:val="24"/>
                <w:szCs w:val="24"/>
                <w:lang w:val="en-US" w:eastAsia="zh-CN"/>
              </w:rPr>
            </w:pPr>
            <w:r>
              <w:rPr>
                <w:rFonts w:hint="eastAsia" w:ascii="仿宋" w:hAnsi="仿宋" w:eastAsia="仿宋" w:cs="仿宋"/>
                <w:kern w:val="0"/>
                <w:sz w:val="24"/>
                <w:szCs w:val="24"/>
                <w:lang w:val="en-US" w:eastAsia="zh-CN"/>
              </w:rPr>
              <w:t>2.00</w:t>
            </w:r>
          </w:p>
        </w:tc>
      </w:tr>
      <w:tr>
        <w:tblPrEx>
          <w:tblCellMar>
            <w:top w:w="0" w:type="dxa"/>
            <w:left w:w="108" w:type="dxa"/>
            <w:bottom w:w="0" w:type="dxa"/>
            <w:right w:w="108" w:type="dxa"/>
          </w:tblCellMar>
        </w:tblPrEx>
        <w:trPr>
          <w:trHeight w:val="454" w:hRule="atLeast"/>
        </w:trPr>
        <w:tc>
          <w:tcPr>
            <w:tcW w:w="19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卫生计生监督协管</w:t>
            </w:r>
          </w:p>
        </w:tc>
        <w:tc>
          <w:tcPr>
            <w:tcW w:w="430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卫生计生监督协管</w:t>
            </w:r>
          </w:p>
        </w:tc>
        <w:tc>
          <w:tcPr>
            <w:tcW w:w="1100" w:type="dxa"/>
            <w:tcBorders>
              <w:top w:val="single" w:color="auto" w:sz="4" w:space="0"/>
              <w:left w:val="single" w:color="auto" w:sz="4" w:space="0"/>
              <w:bottom w:val="single" w:color="auto" w:sz="4" w:space="0"/>
              <w:right w:val="single" w:color="auto" w:sz="4" w:space="0"/>
            </w:tcBorders>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ind w:right="162" w:rightChars="77"/>
              <w:jc w:val="right"/>
              <w:rPr>
                <w:rFonts w:hint="default" w:ascii="仿宋" w:hAnsi="仿宋" w:eastAsia="仿宋" w:cs="仿宋"/>
                <w:b w:val="0"/>
                <w:bCs/>
                <w:kern w:val="0"/>
                <w:sz w:val="24"/>
                <w:szCs w:val="24"/>
                <w:lang w:val="en-US" w:eastAsia="zh-CN"/>
              </w:rPr>
            </w:pPr>
            <w:r>
              <w:rPr>
                <w:rFonts w:hint="eastAsia" w:ascii="仿宋" w:hAnsi="仿宋" w:eastAsia="仿宋" w:cs="仿宋"/>
                <w:kern w:val="0"/>
                <w:sz w:val="24"/>
                <w:szCs w:val="24"/>
                <w:lang w:val="en-US" w:eastAsia="zh-CN"/>
              </w:rPr>
              <w:t>0.70</w:t>
            </w:r>
          </w:p>
        </w:tc>
      </w:tr>
      <w:tr>
        <w:tblPrEx>
          <w:tblCellMar>
            <w:top w:w="0" w:type="dxa"/>
            <w:left w:w="108" w:type="dxa"/>
            <w:bottom w:w="0" w:type="dxa"/>
            <w:right w:w="108" w:type="dxa"/>
          </w:tblCellMar>
        </w:tblPrEx>
        <w:trPr>
          <w:trHeight w:val="454" w:hRule="atLeast"/>
        </w:trPr>
        <w:tc>
          <w:tcPr>
            <w:tcW w:w="1924" w:type="dxa"/>
            <w:vMerge w:val="restart"/>
            <w:tcBorders>
              <w:top w:val="single" w:color="auto" w:sz="4" w:space="0"/>
              <w:left w:val="single" w:color="auto" w:sz="4" w:space="0"/>
              <w:right w:val="single" w:color="auto" w:sz="4" w:space="0"/>
            </w:tcBorders>
            <w:vAlign w:val="center"/>
          </w:tcPr>
          <w:p>
            <w:pPr>
              <w:jc w:val="center"/>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基本</w:t>
            </w:r>
            <w:r>
              <w:rPr>
                <w:rFonts w:hint="eastAsia" w:ascii="仿宋" w:hAnsi="仿宋" w:eastAsia="仿宋" w:cs="仿宋"/>
                <w:kern w:val="0"/>
                <w:sz w:val="24"/>
                <w:szCs w:val="24"/>
                <w:lang w:eastAsia="zh-CN"/>
              </w:rPr>
              <w:t>避孕</w:t>
            </w:r>
            <w:r>
              <w:rPr>
                <w:rFonts w:hint="eastAsia" w:ascii="仿宋" w:hAnsi="仿宋" w:eastAsia="仿宋" w:cs="仿宋"/>
                <w:kern w:val="0"/>
                <w:sz w:val="24"/>
                <w:szCs w:val="24"/>
                <w:lang w:val="en-US" w:eastAsia="zh-CN"/>
              </w:rPr>
              <w:t>服务</w:t>
            </w:r>
          </w:p>
        </w:tc>
        <w:tc>
          <w:tcPr>
            <w:tcW w:w="430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免费提供</w:t>
            </w:r>
            <w:r>
              <w:rPr>
                <w:rFonts w:hint="eastAsia" w:ascii="仿宋" w:hAnsi="仿宋" w:eastAsia="仿宋" w:cs="仿宋"/>
                <w:kern w:val="0"/>
                <w:sz w:val="24"/>
                <w:szCs w:val="24"/>
                <w:lang w:val="en-US" w:eastAsia="zh-CN"/>
              </w:rPr>
              <w:t>基本</w:t>
            </w:r>
            <w:r>
              <w:rPr>
                <w:rFonts w:hint="eastAsia" w:ascii="仿宋" w:hAnsi="仿宋" w:eastAsia="仿宋" w:cs="仿宋"/>
                <w:kern w:val="0"/>
                <w:sz w:val="24"/>
                <w:szCs w:val="24"/>
                <w:lang w:eastAsia="zh-CN"/>
              </w:rPr>
              <w:t>避孕药具</w:t>
            </w:r>
          </w:p>
        </w:tc>
        <w:tc>
          <w:tcPr>
            <w:tcW w:w="1100" w:type="dxa"/>
            <w:tcBorders>
              <w:top w:val="single" w:color="auto" w:sz="4" w:space="0"/>
              <w:left w:val="single" w:color="auto" w:sz="4" w:space="0"/>
              <w:bottom w:val="single" w:color="auto" w:sz="4" w:space="0"/>
              <w:right w:val="single" w:color="auto" w:sz="4" w:space="0"/>
            </w:tcBorders>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0.30</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ind w:right="162" w:rightChars="77"/>
              <w:jc w:val="right"/>
              <w:rPr>
                <w:rFonts w:hint="default" w:ascii="仿宋" w:hAnsi="仿宋" w:eastAsia="仿宋" w:cs="仿宋"/>
                <w:b w:val="0"/>
                <w:bCs/>
                <w:kern w:val="0"/>
                <w:sz w:val="24"/>
                <w:szCs w:val="24"/>
                <w:lang w:val="en-US" w:eastAsia="zh-CN"/>
              </w:rPr>
            </w:pPr>
            <w:r>
              <w:rPr>
                <w:rFonts w:hint="eastAsia" w:ascii="仿宋" w:hAnsi="仿宋" w:eastAsia="仿宋" w:cs="仿宋"/>
                <w:kern w:val="0"/>
                <w:sz w:val="24"/>
                <w:szCs w:val="24"/>
                <w:lang w:val="en-US" w:eastAsia="zh-CN"/>
              </w:rPr>
              <w:t>0.265</w:t>
            </w:r>
          </w:p>
        </w:tc>
      </w:tr>
      <w:tr>
        <w:tblPrEx>
          <w:tblCellMar>
            <w:top w:w="0" w:type="dxa"/>
            <w:left w:w="108" w:type="dxa"/>
            <w:bottom w:w="0" w:type="dxa"/>
            <w:right w:w="108" w:type="dxa"/>
          </w:tblCellMar>
        </w:tblPrEx>
        <w:trPr>
          <w:trHeight w:val="454" w:hRule="atLeast"/>
        </w:trPr>
        <w:tc>
          <w:tcPr>
            <w:tcW w:w="1924" w:type="dxa"/>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4"/>
                <w:szCs w:val="24"/>
                <w:lang w:eastAsia="zh-CN"/>
              </w:rPr>
            </w:pPr>
          </w:p>
        </w:tc>
        <w:tc>
          <w:tcPr>
            <w:tcW w:w="4300" w:type="dxa"/>
            <w:tcBorders>
              <w:top w:val="single" w:color="auto" w:sz="4" w:space="0"/>
              <w:left w:val="single" w:color="auto" w:sz="4" w:space="0"/>
              <w:bottom w:val="single" w:color="auto" w:sz="4" w:space="0"/>
              <w:right w:val="single" w:color="auto" w:sz="4" w:space="0"/>
            </w:tcBorders>
            <w:vAlign w:val="center"/>
          </w:tcPr>
          <w:p>
            <w:pPr>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免费基本避孕手术</w:t>
            </w:r>
          </w:p>
        </w:tc>
        <w:tc>
          <w:tcPr>
            <w:tcW w:w="1100" w:type="dxa"/>
            <w:tcBorders>
              <w:top w:val="single" w:color="auto" w:sz="4" w:space="0"/>
              <w:left w:val="single" w:color="auto" w:sz="4" w:space="0"/>
              <w:bottom w:val="single" w:color="auto" w:sz="4" w:space="0"/>
              <w:right w:val="single" w:color="auto" w:sz="4" w:space="0"/>
            </w:tcBorders>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0.70</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ind w:right="162" w:rightChars="77"/>
              <w:jc w:val="right"/>
              <w:rPr>
                <w:rFonts w:hint="default"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0.50</w:t>
            </w:r>
          </w:p>
        </w:tc>
      </w:tr>
      <w:tr>
        <w:tblPrEx>
          <w:tblCellMar>
            <w:top w:w="0" w:type="dxa"/>
            <w:left w:w="108" w:type="dxa"/>
            <w:bottom w:w="0" w:type="dxa"/>
            <w:right w:w="108" w:type="dxa"/>
          </w:tblCellMar>
        </w:tblPrEx>
        <w:trPr>
          <w:trHeight w:val="454" w:hRule="atLeast"/>
        </w:trPr>
        <w:tc>
          <w:tcPr>
            <w:tcW w:w="19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健康素养促进行动</w:t>
            </w:r>
          </w:p>
        </w:tc>
        <w:tc>
          <w:tcPr>
            <w:tcW w:w="430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eastAsia="zh-CN"/>
              </w:rPr>
              <w:t>健康素养促进行动</w:t>
            </w:r>
          </w:p>
        </w:tc>
        <w:tc>
          <w:tcPr>
            <w:tcW w:w="1100" w:type="dxa"/>
            <w:tcBorders>
              <w:top w:val="single" w:color="auto" w:sz="4" w:space="0"/>
              <w:left w:val="single" w:color="auto" w:sz="4" w:space="0"/>
              <w:bottom w:val="single" w:color="auto" w:sz="4" w:space="0"/>
              <w:right w:val="single" w:color="auto" w:sz="4" w:space="0"/>
            </w:tcBorders>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ind w:right="162" w:rightChars="77"/>
              <w:jc w:val="right"/>
              <w:rPr>
                <w:rFonts w:hint="default"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0.444</w:t>
            </w:r>
          </w:p>
        </w:tc>
      </w:tr>
      <w:tr>
        <w:tblPrEx>
          <w:tblCellMar>
            <w:top w:w="0" w:type="dxa"/>
            <w:left w:w="108" w:type="dxa"/>
            <w:bottom w:w="0" w:type="dxa"/>
            <w:right w:w="108" w:type="dxa"/>
          </w:tblCellMar>
        </w:tblPrEx>
        <w:trPr>
          <w:trHeight w:val="454" w:hRule="atLeast"/>
        </w:trPr>
        <w:tc>
          <w:tcPr>
            <w:tcW w:w="1924"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地方病防治</w:t>
            </w:r>
          </w:p>
        </w:tc>
        <w:tc>
          <w:tcPr>
            <w:tcW w:w="4300" w:type="dxa"/>
            <w:tcBorders>
              <w:top w:val="single" w:color="auto" w:sz="4" w:space="0"/>
              <w:left w:val="single" w:color="auto" w:sz="4" w:space="0"/>
              <w:bottom w:val="single" w:color="auto" w:sz="4" w:space="0"/>
              <w:right w:val="single" w:color="auto" w:sz="4" w:space="0"/>
            </w:tcBorders>
            <w:vAlign w:val="center"/>
          </w:tcPr>
          <w:p>
            <w:pPr>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地方病防治</w:t>
            </w:r>
          </w:p>
        </w:tc>
        <w:tc>
          <w:tcPr>
            <w:tcW w:w="1100" w:type="dxa"/>
            <w:tcBorders>
              <w:top w:val="single" w:color="auto" w:sz="4" w:space="0"/>
              <w:left w:val="single" w:color="auto" w:sz="4" w:space="0"/>
              <w:bottom w:val="single" w:color="auto" w:sz="4" w:space="0"/>
              <w:right w:val="single" w:color="auto" w:sz="4" w:space="0"/>
            </w:tcBorders>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ind w:right="162" w:rightChars="77"/>
              <w:jc w:val="righ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r>
      <w:tr>
        <w:tblPrEx>
          <w:tblCellMar>
            <w:top w:w="0" w:type="dxa"/>
            <w:left w:w="108" w:type="dxa"/>
            <w:bottom w:w="0" w:type="dxa"/>
            <w:right w:w="108" w:type="dxa"/>
          </w:tblCellMar>
        </w:tblPrEx>
        <w:trPr>
          <w:trHeight w:val="454" w:hRule="atLeast"/>
        </w:trPr>
        <w:tc>
          <w:tcPr>
            <w:tcW w:w="1924"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职业病防治</w:t>
            </w:r>
          </w:p>
        </w:tc>
        <w:tc>
          <w:tcPr>
            <w:tcW w:w="4300" w:type="dxa"/>
            <w:tcBorders>
              <w:top w:val="single" w:color="auto" w:sz="4" w:space="0"/>
              <w:left w:val="single" w:color="auto" w:sz="4" w:space="0"/>
              <w:bottom w:val="single" w:color="auto" w:sz="4" w:space="0"/>
              <w:right w:val="single" w:color="auto" w:sz="4" w:space="0"/>
            </w:tcBorders>
            <w:vAlign w:val="center"/>
          </w:tcPr>
          <w:p>
            <w:pPr>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职业病防治</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0.60</w:t>
            </w:r>
          </w:p>
        </w:tc>
      </w:tr>
      <w:tr>
        <w:tblPrEx>
          <w:tblCellMar>
            <w:top w:w="0" w:type="dxa"/>
            <w:left w:w="108" w:type="dxa"/>
            <w:bottom w:w="0" w:type="dxa"/>
            <w:right w:w="108" w:type="dxa"/>
          </w:tblCellMar>
        </w:tblPrEx>
        <w:trPr>
          <w:trHeight w:val="454" w:hRule="atLeast"/>
        </w:trPr>
        <w:tc>
          <w:tcPr>
            <w:tcW w:w="1924" w:type="dxa"/>
            <w:vMerge w:val="restart"/>
            <w:tcBorders>
              <w:top w:val="single" w:color="auto" w:sz="4" w:space="0"/>
              <w:left w:val="single" w:color="auto" w:sz="4" w:space="0"/>
              <w:right w:val="single" w:color="auto" w:sz="4" w:space="0"/>
            </w:tcBorders>
            <w:vAlign w:val="center"/>
          </w:tcPr>
          <w:p>
            <w:pPr>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重大疾病与健康危害因素监测</w:t>
            </w:r>
          </w:p>
        </w:tc>
        <w:tc>
          <w:tcPr>
            <w:tcW w:w="4300" w:type="dxa"/>
            <w:tcBorders>
              <w:top w:val="single" w:color="auto" w:sz="4" w:space="0"/>
              <w:left w:val="single" w:color="auto" w:sz="4" w:space="0"/>
              <w:bottom w:val="single" w:color="auto" w:sz="4" w:space="0"/>
              <w:right w:val="single" w:color="auto" w:sz="4" w:space="0"/>
            </w:tcBorders>
            <w:vAlign w:val="center"/>
          </w:tcPr>
          <w:p>
            <w:pPr>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疾病监测</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r>
      <w:tr>
        <w:tblPrEx>
          <w:tblCellMar>
            <w:top w:w="0" w:type="dxa"/>
            <w:left w:w="108" w:type="dxa"/>
            <w:bottom w:w="0" w:type="dxa"/>
            <w:right w:w="108" w:type="dxa"/>
          </w:tblCellMar>
        </w:tblPrEx>
        <w:trPr>
          <w:trHeight w:val="454" w:hRule="atLeast"/>
        </w:trPr>
        <w:tc>
          <w:tcPr>
            <w:tcW w:w="1924" w:type="dxa"/>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4"/>
                <w:szCs w:val="24"/>
                <w:lang w:eastAsia="zh-CN"/>
              </w:rPr>
            </w:pPr>
          </w:p>
        </w:tc>
        <w:tc>
          <w:tcPr>
            <w:tcW w:w="4300" w:type="dxa"/>
            <w:tcBorders>
              <w:top w:val="single" w:color="auto" w:sz="4" w:space="0"/>
              <w:left w:val="single" w:color="auto" w:sz="4" w:space="0"/>
              <w:bottom w:val="single" w:color="auto" w:sz="4" w:space="0"/>
              <w:right w:val="single" w:color="auto" w:sz="4" w:space="0"/>
            </w:tcBorders>
            <w:vAlign w:val="center"/>
          </w:tcPr>
          <w:p>
            <w:pPr>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健康危害因素监测</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0.50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0.375</w:t>
            </w:r>
          </w:p>
        </w:tc>
      </w:tr>
      <w:tr>
        <w:tblPrEx>
          <w:tblCellMar>
            <w:top w:w="0" w:type="dxa"/>
            <w:left w:w="108" w:type="dxa"/>
            <w:bottom w:w="0" w:type="dxa"/>
            <w:right w:w="108" w:type="dxa"/>
          </w:tblCellMar>
        </w:tblPrEx>
        <w:trPr>
          <w:trHeight w:val="454" w:hRule="atLeast"/>
        </w:trPr>
        <w:tc>
          <w:tcPr>
            <w:tcW w:w="1924"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国家随机监督抽查</w:t>
            </w:r>
          </w:p>
        </w:tc>
        <w:tc>
          <w:tcPr>
            <w:tcW w:w="4300" w:type="dxa"/>
            <w:tcBorders>
              <w:top w:val="single" w:color="auto" w:sz="4" w:space="0"/>
              <w:left w:val="single" w:color="auto" w:sz="4" w:space="0"/>
              <w:bottom w:val="single" w:color="auto" w:sz="4" w:space="0"/>
              <w:right w:val="single" w:color="auto" w:sz="4" w:space="0"/>
            </w:tcBorders>
            <w:vAlign w:val="center"/>
          </w:tcPr>
          <w:p>
            <w:pPr>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国抽完成情况</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0.50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0.30</w:t>
            </w:r>
          </w:p>
        </w:tc>
      </w:tr>
      <w:tr>
        <w:tblPrEx>
          <w:tblCellMar>
            <w:top w:w="0" w:type="dxa"/>
            <w:left w:w="108" w:type="dxa"/>
            <w:bottom w:w="0" w:type="dxa"/>
            <w:right w:w="108" w:type="dxa"/>
          </w:tblCellMar>
        </w:tblPrEx>
        <w:trPr>
          <w:trHeight w:val="454" w:hRule="atLeast"/>
        </w:trPr>
        <w:tc>
          <w:tcPr>
            <w:tcW w:w="1924"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人口监测</w:t>
            </w:r>
          </w:p>
        </w:tc>
        <w:tc>
          <w:tcPr>
            <w:tcW w:w="4300" w:type="dxa"/>
            <w:tcBorders>
              <w:top w:val="single" w:color="auto" w:sz="4" w:space="0"/>
              <w:left w:val="single" w:color="auto" w:sz="4" w:space="0"/>
              <w:bottom w:val="single" w:color="auto" w:sz="4" w:space="0"/>
              <w:right w:val="single" w:color="auto" w:sz="4" w:space="0"/>
            </w:tcBorders>
            <w:vAlign w:val="center"/>
          </w:tcPr>
          <w:p>
            <w:pPr>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人口监测</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0.4</w:t>
            </w:r>
          </w:p>
        </w:tc>
      </w:tr>
      <w:tr>
        <w:tblPrEx>
          <w:tblCellMar>
            <w:top w:w="0" w:type="dxa"/>
            <w:left w:w="108" w:type="dxa"/>
            <w:bottom w:w="0" w:type="dxa"/>
            <w:right w:w="108" w:type="dxa"/>
          </w:tblCellMar>
        </w:tblPrEx>
        <w:trPr>
          <w:trHeight w:val="454" w:hRule="atLeast"/>
        </w:trPr>
        <w:tc>
          <w:tcPr>
            <w:tcW w:w="1924"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b/>
                <w:bCs/>
                <w:kern w:val="0"/>
                <w:sz w:val="24"/>
                <w:szCs w:val="24"/>
                <w:lang w:val="en-US" w:eastAsia="zh-CN"/>
              </w:rPr>
            </w:pPr>
            <w:r>
              <w:rPr>
                <w:rFonts w:hint="eastAsia" w:ascii="仿宋" w:hAnsi="仿宋" w:eastAsia="仿宋" w:cs="仿宋"/>
                <w:b/>
                <w:bCs/>
                <w:kern w:val="0"/>
                <w:sz w:val="24"/>
                <w:szCs w:val="24"/>
                <w:lang w:val="en-US" w:eastAsia="zh-CN"/>
              </w:rPr>
              <w:t>产出</w:t>
            </w:r>
          </w:p>
        </w:tc>
        <w:tc>
          <w:tcPr>
            <w:tcW w:w="43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b/>
                <w:bCs/>
                <w:kern w:val="0"/>
                <w:sz w:val="24"/>
                <w:szCs w:val="24"/>
                <w:lang w:val="en-US" w:eastAsia="zh-CN"/>
              </w:rPr>
            </w:pPr>
            <w:r>
              <w:rPr>
                <w:rFonts w:hint="eastAsia" w:ascii="仿宋" w:hAnsi="仿宋" w:eastAsia="仿宋" w:cs="仿宋"/>
                <w:b/>
                <w:bCs/>
                <w:kern w:val="0"/>
                <w:sz w:val="24"/>
                <w:szCs w:val="24"/>
                <w:lang w:val="en-US" w:eastAsia="zh-CN"/>
              </w:rPr>
              <w:t>合计</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b/>
                <w:bCs/>
                <w:kern w:val="0"/>
                <w:sz w:val="24"/>
                <w:szCs w:val="24"/>
                <w:lang w:val="en-US" w:eastAsia="zh-CN"/>
              </w:rPr>
            </w:pPr>
            <w:r>
              <w:rPr>
                <w:rFonts w:hint="eastAsia" w:ascii="仿宋" w:hAnsi="仿宋" w:eastAsia="仿宋" w:cs="仿宋"/>
                <w:b/>
                <w:bCs/>
                <w:kern w:val="0"/>
                <w:sz w:val="24"/>
                <w:szCs w:val="24"/>
                <w:lang w:val="en-US" w:eastAsia="zh-CN"/>
              </w:rPr>
              <w:t>40.00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b/>
                <w:bCs/>
                <w:kern w:val="0"/>
                <w:sz w:val="24"/>
                <w:szCs w:val="24"/>
                <w:lang w:val="en-US" w:eastAsia="zh-CN"/>
              </w:rPr>
            </w:pPr>
            <w:r>
              <w:rPr>
                <w:rFonts w:hint="eastAsia" w:ascii="仿宋" w:hAnsi="仿宋" w:eastAsia="仿宋" w:cs="仿宋"/>
                <w:b/>
                <w:bCs/>
                <w:kern w:val="0"/>
                <w:sz w:val="24"/>
                <w:szCs w:val="24"/>
                <w:lang w:val="en-US" w:eastAsia="zh-CN"/>
              </w:rPr>
              <w:t>28.007</w:t>
            </w:r>
          </w:p>
        </w:tc>
      </w:tr>
    </w:tbl>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val="0"/>
          <w:bCs/>
          <w:kern w:val="2"/>
          <w:sz w:val="28"/>
          <w:szCs w:val="28"/>
          <w:highlight w:val="none"/>
          <w:lang w:val="en-US" w:eastAsia="zh-CN" w:bidi="ar-SA"/>
        </w:rPr>
      </w:pPr>
      <w:bookmarkStart w:id="192" w:name="_Toc24051"/>
      <w:r>
        <w:rPr>
          <w:rFonts w:hint="eastAsia" w:ascii="仿宋" w:hAnsi="仿宋" w:eastAsia="仿宋" w:cs="仿宋"/>
          <w:b/>
          <w:sz w:val="28"/>
          <w:szCs w:val="28"/>
          <w:highlight w:val="none"/>
          <w:lang w:val="en-US" w:eastAsia="zh-CN"/>
        </w:rPr>
        <w:t>1.居民健康档案管理，</w:t>
      </w:r>
      <w:r>
        <w:rPr>
          <w:rFonts w:ascii="仿宋" w:hAnsi="仿宋" w:eastAsia="仿宋" w:cs="仿宋"/>
          <w:b/>
          <w:sz w:val="28"/>
          <w:szCs w:val="28"/>
          <w:highlight w:val="none"/>
        </w:rPr>
        <w:t>权重</w:t>
      </w:r>
      <w:r>
        <w:rPr>
          <w:rFonts w:hint="eastAsia" w:ascii="仿宋" w:hAnsi="仿宋" w:eastAsia="仿宋" w:cs="仿宋"/>
          <w:b/>
          <w:sz w:val="28"/>
          <w:szCs w:val="28"/>
          <w:highlight w:val="none"/>
          <w:lang w:val="en-US" w:eastAsia="zh-CN"/>
        </w:rPr>
        <w:t>2</w:t>
      </w:r>
      <w:r>
        <w:rPr>
          <w:rFonts w:ascii="仿宋" w:hAnsi="仿宋" w:eastAsia="仿宋" w:cs="仿宋"/>
          <w:b/>
          <w:sz w:val="28"/>
          <w:szCs w:val="28"/>
          <w:highlight w:val="none"/>
        </w:rPr>
        <w:t>分</w:t>
      </w:r>
      <w:r>
        <w:rPr>
          <w:rFonts w:hint="eastAsia" w:ascii="仿宋" w:hAnsi="仿宋" w:eastAsia="仿宋" w:cs="仿宋"/>
          <w:b/>
          <w:sz w:val="28"/>
          <w:szCs w:val="28"/>
          <w:highlight w:val="none"/>
        </w:rPr>
        <w:t>，</w:t>
      </w:r>
      <w:r>
        <w:rPr>
          <w:rFonts w:ascii="仿宋" w:hAnsi="仿宋" w:eastAsia="仿宋" w:cs="仿宋"/>
          <w:b/>
          <w:sz w:val="28"/>
          <w:szCs w:val="28"/>
          <w:highlight w:val="none"/>
        </w:rPr>
        <w:t>得分</w:t>
      </w:r>
      <w:r>
        <w:rPr>
          <w:rFonts w:hint="eastAsia" w:ascii="仿宋" w:hAnsi="仿宋" w:eastAsia="仿宋" w:cs="仿宋"/>
          <w:b/>
          <w:sz w:val="28"/>
          <w:szCs w:val="28"/>
          <w:highlight w:val="none"/>
          <w:lang w:val="en-US" w:eastAsia="zh-CN"/>
        </w:rPr>
        <w:t>0.70</w:t>
      </w:r>
      <w:r>
        <w:rPr>
          <w:rFonts w:ascii="仿宋" w:hAnsi="仿宋" w:eastAsia="仿宋" w:cs="仿宋"/>
          <w:b/>
          <w:sz w:val="28"/>
          <w:szCs w:val="28"/>
          <w:highlight w:val="none"/>
        </w:rPr>
        <w:t>分</w:t>
      </w:r>
      <w:bookmarkEnd w:id="19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bookmarkStart w:id="193" w:name="_Toc20817"/>
      <w:r>
        <w:rPr>
          <w:rFonts w:hint="eastAsia" w:ascii="仿宋" w:hAnsi="仿宋" w:eastAsia="仿宋" w:cs="仿宋"/>
          <w:b/>
          <w:bCs w:val="0"/>
          <w:kern w:val="2"/>
          <w:sz w:val="28"/>
          <w:szCs w:val="28"/>
          <w:highlight w:val="none"/>
          <w:lang w:val="en-US" w:eastAsia="zh-CN" w:bidi="ar-SA"/>
        </w:rPr>
        <w:t>（1）电子健康档案建档率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2020年度临猗县辖区内常住居民数为595476人，建立电子健康档案人数为547038人，电子健康档案建档率为91.87%，但经查看临猗县第七次全国人口普查公报得知，现临猗县常住人口为482559人，建档人数已超过常住人数64479人，档案中应清理未清理的人数较多，不利于常住人口健康档案的管理和使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与2019年比较我们发现，2019年电子健康档案建档人数为546065人，2020年新建电子健康档案人数仅有973人，但在实地评价中，临猗中医院一家2020年新建档案就有4200份，电子健康档案数字缺少严谨性。</w:t>
      </w:r>
    </w:p>
    <w:bookmarkEnd w:id="193"/>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bookmarkStart w:id="194" w:name="_Toc7092"/>
      <w:r>
        <w:rPr>
          <w:rFonts w:hint="default" w:ascii="仿宋" w:hAnsi="仿宋" w:eastAsia="仿宋" w:cs="仿宋"/>
          <w:b w:val="0"/>
          <w:bCs/>
          <w:kern w:val="2"/>
          <w:sz w:val="28"/>
          <w:szCs w:val="28"/>
          <w:highlight w:val="none"/>
          <w:lang w:val="en-US" w:eastAsia="zh-CN" w:bidi="ar-SA"/>
        </w:rPr>
        <w:t>评价人员抽查了</w:t>
      </w:r>
      <w:r>
        <w:rPr>
          <w:rFonts w:hint="eastAsia" w:ascii="仿宋" w:hAnsi="仿宋" w:eastAsia="仿宋" w:cs="仿宋"/>
          <w:b w:val="0"/>
          <w:bCs/>
          <w:kern w:val="2"/>
          <w:sz w:val="28"/>
          <w:szCs w:val="28"/>
          <w:highlight w:val="none"/>
          <w:lang w:val="en-US" w:eastAsia="zh-CN" w:bidi="ar-SA"/>
        </w:rPr>
        <w:t>5家</w:t>
      </w:r>
      <w:r>
        <w:rPr>
          <w:rFonts w:hint="default" w:ascii="仿宋" w:hAnsi="仿宋" w:eastAsia="仿宋" w:cs="仿宋"/>
          <w:b w:val="0"/>
          <w:bCs/>
          <w:kern w:val="2"/>
          <w:sz w:val="28"/>
          <w:szCs w:val="28"/>
          <w:highlight w:val="none"/>
          <w:lang w:val="en-US" w:eastAsia="zh-CN" w:bidi="ar-SA"/>
        </w:rPr>
        <w:t>基层医疗机构进行评价，</w:t>
      </w:r>
      <w:r>
        <w:rPr>
          <w:rFonts w:hint="eastAsia" w:ascii="仿宋" w:hAnsi="仿宋" w:eastAsia="仿宋" w:cs="仿宋"/>
          <w:b w:val="0"/>
          <w:bCs/>
          <w:kern w:val="2"/>
          <w:sz w:val="28"/>
          <w:szCs w:val="28"/>
          <w:highlight w:val="none"/>
          <w:lang w:val="en-US" w:eastAsia="zh-CN" w:bidi="ar-SA"/>
        </w:rPr>
        <w:t>并结合2020年数据的准确性对本指标进行评分</w:t>
      </w:r>
      <w:r>
        <w:rPr>
          <w:rFonts w:hint="default" w:ascii="仿宋" w:hAnsi="仿宋" w:eastAsia="仿宋" w:cs="仿宋"/>
          <w:b w:val="0"/>
          <w:bCs/>
          <w:kern w:val="2"/>
          <w:sz w:val="28"/>
          <w:szCs w:val="28"/>
          <w:highlight w:val="none"/>
          <w:lang w:val="en-US" w:eastAsia="zh-CN" w:bidi="ar-SA"/>
        </w:rPr>
        <w:t>，本指标权重</w:t>
      </w:r>
      <w:r>
        <w:rPr>
          <w:rFonts w:hint="eastAsia" w:ascii="仿宋" w:hAnsi="仿宋" w:eastAsia="仿宋" w:cs="仿宋"/>
          <w:b w:val="0"/>
          <w:bCs/>
          <w:kern w:val="2"/>
          <w:sz w:val="28"/>
          <w:szCs w:val="28"/>
          <w:highlight w:val="none"/>
          <w:lang w:val="en-US" w:eastAsia="zh-CN" w:bidi="ar-SA"/>
        </w:rPr>
        <w:t>1</w:t>
      </w:r>
      <w:r>
        <w:rPr>
          <w:rFonts w:hint="default" w:ascii="仿宋" w:hAnsi="仿宋" w:eastAsia="仿宋" w:cs="仿宋"/>
          <w:b w:val="0"/>
          <w:bCs/>
          <w:kern w:val="2"/>
          <w:sz w:val="28"/>
          <w:szCs w:val="28"/>
          <w:highlight w:val="none"/>
          <w:lang w:val="en-US" w:eastAsia="zh-CN" w:bidi="ar-SA"/>
        </w:rPr>
        <w:t>分，得分</w:t>
      </w:r>
      <w:r>
        <w:rPr>
          <w:rFonts w:hint="eastAsia" w:ascii="仿宋" w:hAnsi="仿宋" w:eastAsia="仿宋" w:cs="仿宋"/>
          <w:b w:val="0"/>
          <w:bCs/>
          <w:kern w:val="2"/>
          <w:sz w:val="28"/>
          <w:szCs w:val="28"/>
          <w:highlight w:val="none"/>
          <w:lang w:val="en-US" w:eastAsia="zh-CN" w:bidi="ar-SA"/>
        </w:rPr>
        <w:t>0.50</w:t>
      </w:r>
      <w:r>
        <w:rPr>
          <w:rFonts w:hint="default" w:ascii="仿宋" w:hAnsi="仿宋" w:eastAsia="仿宋" w:cs="仿宋"/>
          <w:b w:val="0"/>
          <w:bCs/>
          <w:kern w:val="2"/>
          <w:sz w:val="28"/>
          <w:szCs w:val="28"/>
          <w:highlight w:val="none"/>
          <w:lang w:val="en-US" w:eastAsia="zh-CN" w:bidi="ar-SA"/>
        </w:rPr>
        <w:t>分。</w:t>
      </w:r>
      <w:bookmarkEnd w:id="19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（2）健康档案动态使用率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从2020年城乡居民健康档案管理报表可知，建立电子健康档案人数547038人，档案中有动态记录的档案份数306439份，健康档案使用率56.02%，未达到年度目标70%的要求；健康档案动态使用情况因2020年更换管理系统无法与2019年进行准确比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default" w:ascii="仿宋" w:hAnsi="仿宋" w:eastAsia="仿宋" w:cs="仿宋"/>
          <w:b w:val="0"/>
          <w:bCs/>
          <w:kern w:val="2"/>
          <w:sz w:val="28"/>
          <w:szCs w:val="28"/>
          <w:highlight w:val="none"/>
          <w:lang w:val="en-US" w:eastAsia="zh-CN" w:bidi="ar-SA"/>
        </w:rPr>
        <w:t>评价人员抽查了</w:t>
      </w:r>
      <w:r>
        <w:rPr>
          <w:rFonts w:hint="eastAsia" w:ascii="仿宋" w:hAnsi="仿宋" w:eastAsia="仿宋" w:cs="仿宋"/>
          <w:b w:val="0"/>
          <w:bCs/>
          <w:kern w:val="2"/>
          <w:sz w:val="28"/>
          <w:szCs w:val="28"/>
          <w:highlight w:val="none"/>
          <w:lang w:val="en-US" w:eastAsia="zh-CN" w:bidi="ar-SA"/>
        </w:rPr>
        <w:t>5家</w:t>
      </w:r>
      <w:r>
        <w:rPr>
          <w:rFonts w:hint="default" w:ascii="仿宋" w:hAnsi="仿宋" w:eastAsia="仿宋" w:cs="仿宋"/>
          <w:b w:val="0"/>
          <w:bCs/>
          <w:kern w:val="2"/>
          <w:sz w:val="28"/>
          <w:szCs w:val="28"/>
          <w:highlight w:val="none"/>
          <w:lang w:val="en-US" w:eastAsia="zh-CN" w:bidi="ar-SA"/>
        </w:rPr>
        <w:t>基层医疗机构对进行评价，</w:t>
      </w:r>
      <w:r>
        <w:rPr>
          <w:rFonts w:hint="eastAsia" w:ascii="仿宋" w:hAnsi="仿宋" w:eastAsia="仿宋" w:cs="仿宋"/>
          <w:b w:val="0"/>
          <w:bCs/>
          <w:kern w:val="2"/>
          <w:sz w:val="28"/>
          <w:szCs w:val="28"/>
          <w:highlight w:val="none"/>
          <w:lang w:val="en-US" w:eastAsia="zh-CN" w:bidi="ar-SA"/>
        </w:rPr>
        <w:t>健康档案使用率均未超过50%，经加权平均计算后，本指标权重1分，得分0.2分。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val="0"/>
          <w:kern w:val="2"/>
          <w:sz w:val="28"/>
          <w:szCs w:val="28"/>
          <w:highlight w:val="none"/>
          <w:lang w:val="en-US" w:eastAsia="zh-CN" w:bidi="ar-SA"/>
        </w:rPr>
      </w:pPr>
      <w:bookmarkStart w:id="195" w:name="_Toc28868"/>
      <w:r>
        <w:rPr>
          <w:rFonts w:hint="eastAsia" w:ascii="仿宋" w:hAnsi="仿宋" w:eastAsia="仿宋" w:cs="仿宋"/>
          <w:b/>
          <w:bCs w:val="0"/>
          <w:kern w:val="2"/>
          <w:sz w:val="28"/>
          <w:szCs w:val="28"/>
          <w:highlight w:val="none"/>
          <w:lang w:val="en-US" w:eastAsia="zh-CN" w:bidi="ar-SA"/>
        </w:rPr>
        <w:t>2.健康教育，</w:t>
      </w:r>
      <w:r>
        <w:rPr>
          <w:rFonts w:ascii="仿宋" w:hAnsi="仿宋" w:eastAsia="仿宋" w:cs="仿宋"/>
          <w:b/>
          <w:bCs w:val="0"/>
          <w:sz w:val="28"/>
          <w:szCs w:val="28"/>
          <w:highlight w:val="none"/>
        </w:rPr>
        <w:t>权重</w:t>
      </w:r>
      <w:r>
        <w:rPr>
          <w:rFonts w:hint="eastAsia" w:ascii="仿宋" w:hAnsi="仿宋" w:eastAsia="仿宋" w:cs="仿宋"/>
          <w:b/>
          <w:bCs w:val="0"/>
          <w:sz w:val="28"/>
          <w:szCs w:val="28"/>
          <w:highlight w:val="none"/>
          <w:lang w:val="en-US" w:eastAsia="zh-CN"/>
        </w:rPr>
        <w:t>4</w:t>
      </w:r>
      <w:r>
        <w:rPr>
          <w:rFonts w:ascii="仿宋" w:hAnsi="仿宋" w:eastAsia="仿宋" w:cs="仿宋"/>
          <w:b/>
          <w:bCs w:val="0"/>
          <w:sz w:val="28"/>
          <w:szCs w:val="28"/>
          <w:highlight w:val="none"/>
        </w:rPr>
        <w:t>分</w:t>
      </w:r>
      <w:r>
        <w:rPr>
          <w:rFonts w:hint="eastAsia" w:ascii="仿宋" w:hAnsi="仿宋" w:eastAsia="仿宋" w:cs="仿宋"/>
          <w:b/>
          <w:bCs w:val="0"/>
          <w:sz w:val="28"/>
          <w:szCs w:val="28"/>
          <w:highlight w:val="none"/>
        </w:rPr>
        <w:t>，</w:t>
      </w:r>
      <w:r>
        <w:rPr>
          <w:rFonts w:ascii="仿宋" w:hAnsi="仿宋" w:eastAsia="仿宋" w:cs="仿宋"/>
          <w:b/>
          <w:bCs w:val="0"/>
          <w:sz w:val="28"/>
          <w:szCs w:val="28"/>
          <w:highlight w:val="none"/>
        </w:rPr>
        <w:t>得分</w:t>
      </w:r>
      <w:r>
        <w:rPr>
          <w:rFonts w:hint="eastAsia" w:ascii="仿宋" w:hAnsi="仿宋" w:eastAsia="仿宋" w:cs="仿宋"/>
          <w:b/>
          <w:bCs w:val="0"/>
          <w:sz w:val="28"/>
          <w:szCs w:val="28"/>
          <w:highlight w:val="none"/>
          <w:lang w:val="en-US" w:eastAsia="zh-CN"/>
        </w:rPr>
        <w:t>3.479</w:t>
      </w:r>
      <w:r>
        <w:rPr>
          <w:rFonts w:ascii="仿宋" w:hAnsi="仿宋" w:eastAsia="仿宋" w:cs="仿宋"/>
          <w:b/>
          <w:bCs w:val="0"/>
          <w:sz w:val="28"/>
          <w:szCs w:val="28"/>
          <w:highlight w:val="none"/>
        </w:rPr>
        <w:t>分</w:t>
      </w:r>
      <w:bookmarkEnd w:id="19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196" w:name="_Toc12247"/>
      <w:r>
        <w:rPr>
          <w:rFonts w:hint="eastAsia" w:ascii="仿宋" w:hAnsi="仿宋" w:eastAsia="仿宋" w:cs="仿宋"/>
          <w:b w:val="0"/>
          <w:bCs/>
          <w:kern w:val="2"/>
          <w:sz w:val="28"/>
          <w:szCs w:val="28"/>
          <w:highlight w:val="none"/>
          <w:lang w:val="en-US" w:eastAsia="zh-CN" w:bidi="ar-SA"/>
        </w:rPr>
        <w:t>2020年度辖区内卫生院开展公众健康咨询活动314次、咨询人数31437人；健康知识讲座5714次、参加人数105235人；播放健康教育音像资料种类89类；发放健康教育宣传资料44种683907份；设置健康教育宣传栏1704个，2020年更新8311次。</w:t>
      </w:r>
      <w:bookmarkEnd w:id="196"/>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 xml:space="preserve">    在评价中我们发现，播放健康教育音像资料种类和发放健康教育宣传资料种数未达到年度目标任务；中医院的公众健康咨询活动未过到9次；猗氏和庙上的健康知识讲座未达年度目标、庙上部分卫生室的宣传栏设置不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197" w:name="_Toc26376"/>
      <w:r>
        <w:rPr>
          <w:rFonts w:hint="eastAsia" w:ascii="仿宋" w:hAnsi="仿宋" w:eastAsia="仿宋" w:cs="仿宋"/>
          <w:b w:val="0"/>
          <w:bCs/>
          <w:kern w:val="2"/>
          <w:sz w:val="28"/>
          <w:szCs w:val="28"/>
          <w:highlight w:val="none"/>
          <w:lang w:val="en-US" w:eastAsia="zh-CN" w:bidi="ar-SA"/>
        </w:rPr>
        <w:t>评价人员抽查的5家基层医疗机构进行评价，经加权平均计算后，本指标权重4分，得分3.479分。</w:t>
      </w:r>
      <w:bookmarkEnd w:id="19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val="0"/>
          <w:bCs/>
          <w:kern w:val="2"/>
          <w:sz w:val="28"/>
          <w:szCs w:val="28"/>
          <w:highlight w:val="none"/>
          <w:lang w:val="en-US" w:eastAsia="zh-CN" w:bidi="ar-SA"/>
        </w:rPr>
      </w:pPr>
      <w:bookmarkStart w:id="198" w:name="_Toc5800"/>
      <w:r>
        <w:rPr>
          <w:rFonts w:hint="eastAsia" w:ascii="仿宋" w:hAnsi="仿宋" w:eastAsia="仿宋" w:cs="仿宋"/>
          <w:b/>
          <w:bCs w:val="0"/>
          <w:kern w:val="2"/>
          <w:sz w:val="28"/>
          <w:szCs w:val="28"/>
          <w:highlight w:val="none"/>
          <w:lang w:val="en-US" w:eastAsia="zh-CN" w:bidi="ar-SA"/>
        </w:rPr>
        <w:t>3.</w:t>
      </w:r>
      <w:r>
        <w:rPr>
          <w:rFonts w:hint="default" w:ascii="仿宋" w:hAnsi="仿宋" w:eastAsia="仿宋" w:cs="仿宋"/>
          <w:b/>
          <w:bCs w:val="0"/>
          <w:kern w:val="2"/>
          <w:sz w:val="28"/>
          <w:szCs w:val="28"/>
          <w:highlight w:val="none"/>
          <w:lang w:val="en-US" w:eastAsia="zh-CN" w:bidi="ar-SA"/>
        </w:rPr>
        <w:t>预防接种</w:t>
      </w:r>
      <w:r>
        <w:rPr>
          <w:rFonts w:hint="eastAsia" w:ascii="仿宋" w:hAnsi="仿宋" w:eastAsia="仿宋" w:cs="仿宋"/>
          <w:b/>
          <w:bCs w:val="0"/>
          <w:kern w:val="2"/>
          <w:sz w:val="28"/>
          <w:szCs w:val="28"/>
          <w:highlight w:val="none"/>
          <w:lang w:val="en-US" w:eastAsia="zh-CN" w:bidi="ar-SA"/>
        </w:rPr>
        <w:t>，</w:t>
      </w:r>
      <w:r>
        <w:rPr>
          <w:rFonts w:ascii="仿宋" w:hAnsi="仿宋" w:eastAsia="仿宋" w:cs="仿宋"/>
          <w:b/>
          <w:bCs w:val="0"/>
          <w:sz w:val="28"/>
          <w:szCs w:val="28"/>
          <w:highlight w:val="none"/>
        </w:rPr>
        <w:t>权重</w:t>
      </w:r>
      <w:r>
        <w:rPr>
          <w:rFonts w:hint="eastAsia" w:ascii="仿宋" w:hAnsi="仿宋" w:eastAsia="仿宋" w:cs="仿宋"/>
          <w:b/>
          <w:bCs w:val="0"/>
          <w:sz w:val="28"/>
          <w:szCs w:val="28"/>
          <w:highlight w:val="none"/>
          <w:lang w:val="en-US" w:eastAsia="zh-CN"/>
        </w:rPr>
        <w:t>3</w:t>
      </w:r>
      <w:r>
        <w:rPr>
          <w:rFonts w:ascii="仿宋" w:hAnsi="仿宋" w:eastAsia="仿宋" w:cs="仿宋"/>
          <w:b/>
          <w:bCs w:val="0"/>
          <w:sz w:val="28"/>
          <w:szCs w:val="28"/>
          <w:highlight w:val="none"/>
        </w:rPr>
        <w:t>分</w:t>
      </w:r>
      <w:r>
        <w:rPr>
          <w:rFonts w:hint="eastAsia" w:ascii="仿宋" w:hAnsi="仿宋" w:eastAsia="仿宋" w:cs="仿宋"/>
          <w:b/>
          <w:bCs w:val="0"/>
          <w:sz w:val="28"/>
          <w:szCs w:val="28"/>
          <w:highlight w:val="none"/>
        </w:rPr>
        <w:t>，</w:t>
      </w:r>
      <w:r>
        <w:rPr>
          <w:rFonts w:ascii="仿宋" w:hAnsi="仿宋" w:eastAsia="仿宋" w:cs="仿宋"/>
          <w:b/>
          <w:bCs w:val="0"/>
          <w:sz w:val="28"/>
          <w:szCs w:val="28"/>
          <w:highlight w:val="none"/>
        </w:rPr>
        <w:t>得分</w:t>
      </w:r>
      <w:r>
        <w:rPr>
          <w:rFonts w:hint="eastAsia" w:ascii="仿宋" w:hAnsi="仿宋" w:eastAsia="仿宋" w:cs="仿宋"/>
          <w:b/>
          <w:bCs w:val="0"/>
          <w:sz w:val="28"/>
          <w:szCs w:val="28"/>
          <w:highlight w:val="none"/>
          <w:lang w:val="en-US" w:eastAsia="zh-CN"/>
        </w:rPr>
        <w:t>3</w:t>
      </w:r>
      <w:r>
        <w:rPr>
          <w:rFonts w:ascii="仿宋" w:hAnsi="仿宋" w:eastAsia="仿宋" w:cs="仿宋"/>
          <w:b/>
          <w:bCs w:val="0"/>
          <w:sz w:val="28"/>
          <w:szCs w:val="28"/>
          <w:highlight w:val="none"/>
        </w:rPr>
        <w:t>分</w:t>
      </w:r>
      <w:bookmarkEnd w:id="198"/>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bookmarkStart w:id="199" w:name="_Toc12514"/>
      <w:r>
        <w:rPr>
          <w:rFonts w:hint="eastAsia" w:ascii="仿宋" w:hAnsi="仿宋" w:eastAsia="仿宋" w:cs="仿宋"/>
          <w:b/>
          <w:bCs w:val="0"/>
          <w:kern w:val="2"/>
          <w:sz w:val="28"/>
          <w:szCs w:val="28"/>
          <w:highlight w:val="none"/>
          <w:lang w:val="en-US" w:eastAsia="zh-CN" w:bidi="ar-SA"/>
        </w:rPr>
        <w:t>（1）建证率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2020年</w:t>
      </w:r>
      <w:r>
        <w:rPr>
          <w:rFonts w:hint="default" w:ascii="仿宋" w:hAnsi="仿宋" w:eastAsia="仿宋" w:cs="仿宋"/>
          <w:b w:val="0"/>
          <w:bCs/>
          <w:kern w:val="2"/>
          <w:sz w:val="28"/>
          <w:szCs w:val="28"/>
          <w:highlight w:val="none"/>
          <w:lang w:val="en-US" w:eastAsia="zh-CN" w:bidi="ar-SA"/>
        </w:rPr>
        <w:t>辖区内应建立预防接种证人数</w:t>
      </w:r>
      <w:r>
        <w:rPr>
          <w:rFonts w:hint="eastAsia" w:ascii="仿宋" w:hAnsi="仿宋" w:eastAsia="仿宋" w:cs="仿宋"/>
          <w:b w:val="0"/>
          <w:bCs/>
          <w:kern w:val="2"/>
          <w:sz w:val="28"/>
          <w:szCs w:val="28"/>
          <w:highlight w:val="none"/>
          <w:lang w:val="en-US" w:eastAsia="zh-CN" w:bidi="ar-SA"/>
        </w:rPr>
        <w:t>为32361人，辖区内已建立预防接种证人数为32361人，建证率为100%。</w:t>
      </w:r>
    </w:p>
    <w:p>
      <w:pPr>
        <w:pStyle w:val="2"/>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default"/>
          <w:highlight w:val="none"/>
          <w:lang w:val="en-US" w:eastAsia="zh-CN"/>
        </w:rPr>
      </w:pPr>
      <w:r>
        <w:rPr>
          <w:rFonts w:hint="eastAsia" w:ascii="仿宋" w:hAnsi="仿宋" w:eastAsia="仿宋" w:cs="仿宋"/>
          <w:b w:val="0"/>
          <w:bCs/>
          <w:kern w:val="2"/>
          <w:sz w:val="28"/>
          <w:szCs w:val="28"/>
          <w:highlight w:val="none"/>
          <w:lang w:val="en-US" w:eastAsia="zh-CN" w:bidi="ar-SA"/>
        </w:rPr>
        <w:t>评价人员抽查了4家基层医疗卫生机构对本指标进行评价，经加权平均计算后，本指标权重1分，得分1分。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（2）疫苗接种率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default" w:ascii="仿宋" w:hAnsi="仿宋" w:eastAsia="仿宋" w:cs="仿宋"/>
          <w:b w:val="0"/>
          <w:bCs/>
          <w:kern w:val="2"/>
          <w:sz w:val="28"/>
          <w:szCs w:val="28"/>
          <w:highlight w:val="none"/>
          <w:lang w:val="en-US" w:eastAsia="zh-CN" w:bidi="ar-SA"/>
        </w:rPr>
        <w:t>20</w:t>
      </w:r>
      <w:r>
        <w:rPr>
          <w:rFonts w:hint="eastAsia" w:ascii="仿宋" w:hAnsi="仿宋" w:eastAsia="仿宋" w:cs="仿宋"/>
          <w:b w:val="0"/>
          <w:bCs/>
          <w:kern w:val="2"/>
          <w:sz w:val="28"/>
          <w:szCs w:val="28"/>
          <w:highlight w:val="none"/>
          <w:lang w:val="en-US" w:eastAsia="zh-CN" w:bidi="ar-SA"/>
        </w:rPr>
        <w:t>20</w:t>
      </w:r>
      <w:r>
        <w:rPr>
          <w:rFonts w:hint="default" w:ascii="仿宋" w:hAnsi="仿宋" w:eastAsia="仿宋" w:cs="仿宋"/>
          <w:b w:val="0"/>
          <w:bCs/>
          <w:kern w:val="2"/>
          <w:sz w:val="28"/>
          <w:szCs w:val="28"/>
          <w:highlight w:val="none"/>
          <w:lang w:val="en-US" w:eastAsia="zh-CN" w:bidi="ar-SA"/>
        </w:rPr>
        <w:t>年度</w:t>
      </w:r>
      <w:r>
        <w:rPr>
          <w:rFonts w:hint="eastAsia" w:ascii="仿宋" w:hAnsi="仿宋" w:eastAsia="仿宋" w:cs="仿宋"/>
          <w:b w:val="0"/>
          <w:bCs/>
          <w:kern w:val="2"/>
          <w:sz w:val="28"/>
          <w:szCs w:val="28"/>
          <w:highlight w:val="none"/>
          <w:lang w:val="en-US" w:eastAsia="zh-CN" w:bidi="ar-SA"/>
        </w:rPr>
        <w:t>辖区内</w:t>
      </w:r>
      <w:r>
        <w:rPr>
          <w:rFonts w:hint="default" w:ascii="仿宋" w:hAnsi="仿宋" w:eastAsia="仿宋" w:cs="仿宋"/>
          <w:b w:val="0"/>
          <w:bCs/>
          <w:kern w:val="2"/>
          <w:sz w:val="28"/>
          <w:szCs w:val="28"/>
          <w:highlight w:val="none"/>
          <w:lang w:val="en-US" w:eastAsia="zh-CN" w:bidi="ar-SA"/>
        </w:rPr>
        <w:t>各疫苗接种率分别为：乙肝疫苗</w:t>
      </w:r>
      <w:r>
        <w:rPr>
          <w:rFonts w:hint="eastAsia" w:ascii="仿宋" w:hAnsi="仿宋" w:eastAsia="仿宋" w:cs="仿宋"/>
          <w:b w:val="0"/>
          <w:bCs/>
          <w:kern w:val="2"/>
          <w:sz w:val="28"/>
          <w:szCs w:val="28"/>
          <w:highlight w:val="none"/>
          <w:lang w:val="en-US" w:eastAsia="zh-CN" w:bidi="ar-SA"/>
        </w:rPr>
        <w:t>97.26</w:t>
      </w:r>
      <w:r>
        <w:rPr>
          <w:rFonts w:hint="default" w:ascii="仿宋" w:hAnsi="仿宋" w:eastAsia="仿宋" w:cs="仿宋"/>
          <w:b w:val="0"/>
          <w:bCs/>
          <w:kern w:val="2"/>
          <w:sz w:val="28"/>
          <w:szCs w:val="28"/>
          <w:highlight w:val="none"/>
          <w:lang w:val="en-US" w:eastAsia="zh-CN" w:bidi="ar-SA"/>
        </w:rPr>
        <w:t>%、卡介苗</w:t>
      </w:r>
      <w:r>
        <w:rPr>
          <w:rFonts w:hint="eastAsia" w:ascii="仿宋" w:hAnsi="仿宋" w:eastAsia="仿宋" w:cs="仿宋"/>
          <w:b w:val="0"/>
          <w:bCs/>
          <w:kern w:val="2"/>
          <w:sz w:val="28"/>
          <w:szCs w:val="28"/>
          <w:highlight w:val="none"/>
          <w:lang w:val="en-US" w:eastAsia="zh-CN" w:bidi="ar-SA"/>
        </w:rPr>
        <w:t>99.93</w:t>
      </w:r>
      <w:r>
        <w:rPr>
          <w:rFonts w:hint="default" w:ascii="仿宋" w:hAnsi="仿宋" w:eastAsia="仿宋" w:cs="仿宋"/>
          <w:b w:val="0"/>
          <w:bCs/>
          <w:kern w:val="2"/>
          <w:sz w:val="28"/>
          <w:szCs w:val="28"/>
          <w:highlight w:val="none"/>
          <w:lang w:val="en-US" w:eastAsia="zh-CN" w:bidi="ar-SA"/>
        </w:rPr>
        <w:t>%、脊灰疫苗</w:t>
      </w:r>
      <w:r>
        <w:rPr>
          <w:rFonts w:hint="eastAsia" w:ascii="仿宋" w:hAnsi="仿宋" w:eastAsia="仿宋" w:cs="仿宋"/>
          <w:b w:val="0"/>
          <w:bCs/>
          <w:kern w:val="2"/>
          <w:sz w:val="28"/>
          <w:szCs w:val="28"/>
          <w:highlight w:val="none"/>
          <w:lang w:val="en-US" w:eastAsia="zh-CN" w:bidi="ar-SA"/>
        </w:rPr>
        <w:t>97.73</w:t>
      </w:r>
      <w:r>
        <w:rPr>
          <w:rFonts w:hint="default" w:ascii="仿宋" w:hAnsi="仿宋" w:eastAsia="仿宋" w:cs="仿宋"/>
          <w:b w:val="0"/>
          <w:bCs/>
          <w:kern w:val="2"/>
          <w:sz w:val="28"/>
          <w:szCs w:val="28"/>
          <w:highlight w:val="none"/>
          <w:lang w:val="en-US" w:eastAsia="zh-CN" w:bidi="ar-SA"/>
        </w:rPr>
        <w:t>%、百白破疫苗</w:t>
      </w:r>
      <w:r>
        <w:rPr>
          <w:rFonts w:hint="eastAsia" w:ascii="仿宋" w:hAnsi="仿宋" w:eastAsia="仿宋" w:cs="仿宋"/>
          <w:b w:val="0"/>
          <w:bCs/>
          <w:kern w:val="2"/>
          <w:sz w:val="28"/>
          <w:szCs w:val="28"/>
          <w:highlight w:val="none"/>
          <w:lang w:val="en-US" w:eastAsia="zh-CN" w:bidi="ar-SA"/>
        </w:rPr>
        <w:t>91.24</w:t>
      </w:r>
      <w:r>
        <w:rPr>
          <w:rFonts w:hint="default" w:ascii="仿宋" w:hAnsi="仿宋" w:eastAsia="仿宋" w:cs="仿宋"/>
          <w:b w:val="0"/>
          <w:bCs/>
          <w:kern w:val="2"/>
          <w:sz w:val="28"/>
          <w:szCs w:val="28"/>
          <w:highlight w:val="none"/>
          <w:lang w:val="en-US" w:eastAsia="zh-CN" w:bidi="ar-SA"/>
        </w:rPr>
        <w:t>%、白破疫苗</w:t>
      </w:r>
      <w:r>
        <w:rPr>
          <w:rFonts w:hint="eastAsia" w:ascii="仿宋" w:hAnsi="仿宋" w:eastAsia="仿宋" w:cs="仿宋"/>
          <w:b w:val="0"/>
          <w:bCs/>
          <w:kern w:val="2"/>
          <w:sz w:val="28"/>
          <w:szCs w:val="28"/>
          <w:highlight w:val="none"/>
          <w:lang w:val="en-US" w:eastAsia="zh-CN" w:bidi="ar-SA"/>
        </w:rPr>
        <w:t>94.40</w:t>
      </w:r>
      <w:r>
        <w:rPr>
          <w:rFonts w:hint="default" w:ascii="仿宋" w:hAnsi="仿宋" w:eastAsia="仿宋" w:cs="仿宋"/>
          <w:b w:val="0"/>
          <w:bCs/>
          <w:kern w:val="2"/>
          <w:sz w:val="28"/>
          <w:szCs w:val="28"/>
          <w:highlight w:val="none"/>
          <w:lang w:val="en-US" w:eastAsia="zh-CN" w:bidi="ar-SA"/>
        </w:rPr>
        <w:t>%</w:t>
      </w:r>
      <w:r>
        <w:rPr>
          <w:rFonts w:hint="eastAsia" w:ascii="仿宋" w:hAnsi="仿宋" w:eastAsia="仿宋" w:cs="仿宋"/>
          <w:b w:val="0"/>
          <w:bCs/>
          <w:kern w:val="2"/>
          <w:sz w:val="28"/>
          <w:szCs w:val="28"/>
          <w:highlight w:val="none"/>
          <w:lang w:val="en-US" w:eastAsia="zh-CN" w:bidi="ar-SA"/>
        </w:rPr>
        <w:t>、含</w:t>
      </w:r>
      <w:r>
        <w:rPr>
          <w:rFonts w:hint="default" w:ascii="仿宋" w:hAnsi="仿宋" w:eastAsia="仿宋" w:cs="仿宋"/>
          <w:b w:val="0"/>
          <w:bCs/>
          <w:kern w:val="2"/>
          <w:sz w:val="28"/>
          <w:szCs w:val="28"/>
          <w:highlight w:val="none"/>
          <w:lang w:val="en-US" w:eastAsia="zh-CN" w:bidi="ar-SA"/>
        </w:rPr>
        <w:t>麻疹</w:t>
      </w:r>
      <w:r>
        <w:rPr>
          <w:rFonts w:hint="eastAsia" w:ascii="仿宋" w:hAnsi="仿宋" w:eastAsia="仿宋" w:cs="仿宋"/>
          <w:b w:val="0"/>
          <w:bCs/>
          <w:kern w:val="2"/>
          <w:sz w:val="28"/>
          <w:szCs w:val="28"/>
          <w:highlight w:val="none"/>
          <w:lang w:val="en-US" w:eastAsia="zh-CN" w:bidi="ar-SA"/>
        </w:rPr>
        <w:t>成份</w:t>
      </w:r>
      <w:r>
        <w:rPr>
          <w:rFonts w:hint="default" w:ascii="仿宋" w:hAnsi="仿宋" w:eastAsia="仿宋" w:cs="仿宋"/>
          <w:b w:val="0"/>
          <w:bCs/>
          <w:kern w:val="2"/>
          <w:sz w:val="28"/>
          <w:szCs w:val="28"/>
          <w:highlight w:val="none"/>
          <w:lang w:val="en-US" w:eastAsia="zh-CN" w:bidi="ar-SA"/>
        </w:rPr>
        <w:t>疫苗9</w:t>
      </w:r>
      <w:r>
        <w:rPr>
          <w:rFonts w:hint="eastAsia" w:ascii="仿宋" w:hAnsi="仿宋" w:eastAsia="仿宋" w:cs="仿宋"/>
          <w:b w:val="0"/>
          <w:bCs/>
          <w:kern w:val="2"/>
          <w:sz w:val="28"/>
          <w:szCs w:val="28"/>
          <w:highlight w:val="none"/>
          <w:lang w:val="en-US" w:eastAsia="zh-CN" w:bidi="ar-SA"/>
        </w:rPr>
        <w:t>7.36</w:t>
      </w:r>
      <w:r>
        <w:rPr>
          <w:rFonts w:hint="default" w:ascii="仿宋" w:hAnsi="仿宋" w:eastAsia="仿宋" w:cs="仿宋"/>
          <w:b w:val="0"/>
          <w:bCs/>
          <w:kern w:val="2"/>
          <w:sz w:val="28"/>
          <w:szCs w:val="28"/>
          <w:highlight w:val="none"/>
          <w:lang w:val="en-US" w:eastAsia="zh-CN" w:bidi="ar-SA"/>
        </w:rPr>
        <w:t>%、</w:t>
      </w:r>
      <w:r>
        <w:rPr>
          <w:rFonts w:hint="eastAsia" w:ascii="仿宋" w:hAnsi="仿宋" w:eastAsia="仿宋" w:cs="仿宋"/>
          <w:b w:val="0"/>
          <w:bCs/>
          <w:kern w:val="2"/>
          <w:sz w:val="28"/>
          <w:szCs w:val="28"/>
          <w:highlight w:val="none"/>
          <w:lang w:val="en-US" w:eastAsia="zh-CN" w:bidi="ar-SA"/>
        </w:rPr>
        <w:t>流</w:t>
      </w:r>
      <w:r>
        <w:rPr>
          <w:rFonts w:hint="default" w:ascii="仿宋" w:hAnsi="仿宋" w:eastAsia="仿宋" w:cs="仿宋"/>
          <w:b w:val="0"/>
          <w:bCs/>
          <w:kern w:val="2"/>
          <w:sz w:val="28"/>
          <w:szCs w:val="28"/>
          <w:highlight w:val="none"/>
          <w:lang w:val="en-US" w:eastAsia="zh-CN" w:bidi="ar-SA"/>
        </w:rPr>
        <w:t>脑疫苗9</w:t>
      </w:r>
      <w:r>
        <w:rPr>
          <w:rFonts w:hint="eastAsia" w:ascii="仿宋" w:hAnsi="仿宋" w:eastAsia="仿宋" w:cs="仿宋"/>
          <w:b w:val="0"/>
          <w:bCs/>
          <w:kern w:val="2"/>
          <w:sz w:val="28"/>
          <w:szCs w:val="28"/>
          <w:highlight w:val="none"/>
          <w:lang w:val="en-US" w:eastAsia="zh-CN" w:bidi="ar-SA"/>
        </w:rPr>
        <w:t>5</w:t>
      </w:r>
      <w:r>
        <w:rPr>
          <w:rFonts w:hint="default" w:ascii="仿宋" w:hAnsi="仿宋" w:eastAsia="仿宋" w:cs="仿宋"/>
          <w:b w:val="0"/>
          <w:bCs/>
          <w:kern w:val="2"/>
          <w:sz w:val="28"/>
          <w:szCs w:val="28"/>
          <w:highlight w:val="none"/>
          <w:lang w:val="en-US" w:eastAsia="zh-CN" w:bidi="ar-SA"/>
        </w:rPr>
        <w:t>.</w:t>
      </w:r>
      <w:r>
        <w:rPr>
          <w:rFonts w:hint="eastAsia" w:ascii="仿宋" w:hAnsi="仿宋" w:eastAsia="仿宋" w:cs="仿宋"/>
          <w:b w:val="0"/>
          <w:bCs/>
          <w:kern w:val="2"/>
          <w:sz w:val="28"/>
          <w:szCs w:val="28"/>
          <w:highlight w:val="none"/>
          <w:lang w:val="en-US" w:eastAsia="zh-CN" w:bidi="ar-SA"/>
        </w:rPr>
        <w:t>78</w:t>
      </w:r>
      <w:r>
        <w:rPr>
          <w:rFonts w:hint="default" w:ascii="仿宋" w:hAnsi="仿宋" w:eastAsia="仿宋" w:cs="仿宋"/>
          <w:b w:val="0"/>
          <w:bCs/>
          <w:kern w:val="2"/>
          <w:sz w:val="28"/>
          <w:szCs w:val="28"/>
          <w:highlight w:val="none"/>
          <w:lang w:val="en-US" w:eastAsia="zh-CN" w:bidi="ar-SA"/>
        </w:rPr>
        <w:t>%、乙脑疫苗接种率</w:t>
      </w:r>
      <w:r>
        <w:rPr>
          <w:rFonts w:hint="eastAsia" w:ascii="仿宋" w:hAnsi="仿宋" w:eastAsia="仿宋" w:cs="仿宋"/>
          <w:b w:val="0"/>
          <w:bCs/>
          <w:kern w:val="2"/>
          <w:sz w:val="28"/>
          <w:szCs w:val="28"/>
          <w:highlight w:val="none"/>
          <w:lang w:val="en-US" w:eastAsia="zh-CN" w:bidi="ar-SA"/>
        </w:rPr>
        <w:t>94.23%、</w:t>
      </w:r>
      <w:r>
        <w:rPr>
          <w:rFonts w:hint="default" w:ascii="仿宋" w:hAnsi="仿宋" w:eastAsia="仿宋" w:cs="仿宋"/>
          <w:b w:val="0"/>
          <w:bCs/>
          <w:kern w:val="2"/>
          <w:sz w:val="28"/>
          <w:szCs w:val="28"/>
          <w:highlight w:val="none"/>
          <w:lang w:val="en-US" w:eastAsia="zh-CN" w:bidi="ar-SA"/>
        </w:rPr>
        <w:t>甲肝疫苗9</w:t>
      </w:r>
      <w:r>
        <w:rPr>
          <w:rFonts w:hint="eastAsia" w:ascii="仿宋" w:hAnsi="仿宋" w:eastAsia="仿宋" w:cs="仿宋"/>
          <w:b w:val="0"/>
          <w:bCs/>
          <w:kern w:val="2"/>
          <w:sz w:val="28"/>
          <w:szCs w:val="28"/>
          <w:highlight w:val="none"/>
          <w:lang w:val="en-US" w:eastAsia="zh-CN" w:bidi="ar-SA"/>
        </w:rPr>
        <w:t>6</w:t>
      </w:r>
      <w:r>
        <w:rPr>
          <w:rFonts w:hint="default" w:ascii="仿宋" w:hAnsi="仿宋" w:eastAsia="仿宋" w:cs="仿宋"/>
          <w:b w:val="0"/>
          <w:bCs/>
          <w:kern w:val="2"/>
          <w:sz w:val="28"/>
          <w:szCs w:val="28"/>
          <w:highlight w:val="none"/>
          <w:lang w:val="en-US" w:eastAsia="zh-CN" w:bidi="ar-SA"/>
        </w:rPr>
        <w:t>.</w:t>
      </w:r>
      <w:r>
        <w:rPr>
          <w:rFonts w:hint="eastAsia" w:ascii="仿宋" w:hAnsi="仿宋" w:eastAsia="仿宋" w:cs="仿宋"/>
          <w:b w:val="0"/>
          <w:bCs/>
          <w:kern w:val="2"/>
          <w:sz w:val="28"/>
          <w:szCs w:val="28"/>
          <w:highlight w:val="none"/>
          <w:lang w:val="en-US" w:eastAsia="zh-CN" w:bidi="ar-SA"/>
        </w:rPr>
        <w:t>15</w:t>
      </w:r>
      <w:r>
        <w:rPr>
          <w:rFonts w:hint="default" w:ascii="仿宋" w:hAnsi="仿宋" w:eastAsia="仿宋" w:cs="仿宋"/>
          <w:b w:val="0"/>
          <w:bCs/>
          <w:kern w:val="2"/>
          <w:sz w:val="28"/>
          <w:szCs w:val="28"/>
          <w:highlight w:val="none"/>
          <w:lang w:val="en-US" w:eastAsia="zh-CN" w:bidi="ar-SA"/>
        </w:rPr>
        <w:t>%</w:t>
      </w:r>
      <w:r>
        <w:rPr>
          <w:rFonts w:hint="eastAsia" w:ascii="仿宋" w:hAnsi="仿宋" w:eastAsia="仿宋" w:cs="仿宋"/>
          <w:b w:val="0"/>
          <w:bCs/>
          <w:kern w:val="2"/>
          <w:sz w:val="28"/>
          <w:szCs w:val="28"/>
          <w:highlight w:val="none"/>
          <w:lang w:val="en-US" w:eastAsia="zh-CN" w:bidi="ar-SA"/>
        </w:rPr>
        <w:t>，各项疫苗接种率均达到90%以上。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评价人员抽查的4家基层医疗卫生机构进行评价，猗氏疫苗接种总体未达到90%，庙上有6种疫苗接种未达到90%，部分机构疫苗管理工作不够规范，经加权平均计算后，本指标权重2分，得分1.412分。</w:t>
      </w:r>
      <w:bookmarkEnd w:id="19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bookmarkStart w:id="200" w:name="_Toc11481"/>
      <w:r>
        <w:rPr>
          <w:rFonts w:hint="eastAsia" w:ascii="仿宋" w:hAnsi="仿宋" w:eastAsia="仿宋" w:cs="仿宋"/>
          <w:b/>
          <w:bCs w:val="0"/>
          <w:kern w:val="2"/>
          <w:sz w:val="28"/>
          <w:szCs w:val="28"/>
          <w:highlight w:val="none"/>
          <w:lang w:val="en-US" w:eastAsia="zh-CN" w:bidi="ar-SA"/>
        </w:rPr>
        <w:t>4.儿童健康管理，权重4分，得分3.21分</w:t>
      </w:r>
      <w:bookmarkEnd w:id="20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bookmarkStart w:id="201" w:name="_Toc18224"/>
      <w:r>
        <w:rPr>
          <w:rFonts w:hint="eastAsia" w:ascii="仿宋" w:hAnsi="仿宋" w:eastAsia="仿宋" w:cs="仿宋"/>
          <w:b/>
          <w:bCs w:val="0"/>
          <w:kern w:val="2"/>
          <w:sz w:val="28"/>
          <w:szCs w:val="28"/>
          <w:highlight w:val="none"/>
          <w:lang w:val="en-US" w:eastAsia="zh-CN" w:bidi="ar-SA"/>
        </w:rPr>
        <w:t>（1）新生儿访视率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2020年度辖区内活产数为3589人，出生一周后访视新生儿人数3457人，新生儿访视率为96.32%.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在实际评价中，我们抽查的5家儿童健康管理机构，猗氏的新生儿访视率未达到</w:t>
      </w:r>
      <w:r>
        <w:rPr>
          <w:rFonts w:hint="default" w:ascii="仿宋" w:hAnsi="仿宋" w:eastAsia="仿宋" w:cs="仿宋"/>
          <w:b w:val="0"/>
          <w:bCs/>
          <w:kern w:val="2"/>
          <w:sz w:val="28"/>
          <w:szCs w:val="28"/>
          <w:highlight w:val="none"/>
          <w:lang w:val="en-US" w:eastAsia="zh-CN" w:bidi="ar-SA"/>
        </w:rPr>
        <w:t>≥</w:t>
      </w:r>
      <w:r>
        <w:rPr>
          <w:rFonts w:hint="eastAsia" w:ascii="仿宋" w:hAnsi="仿宋" w:eastAsia="仿宋" w:cs="仿宋"/>
          <w:b w:val="0"/>
          <w:bCs/>
          <w:kern w:val="2"/>
          <w:sz w:val="28"/>
          <w:szCs w:val="28"/>
          <w:highlight w:val="none"/>
          <w:lang w:val="en-US" w:eastAsia="zh-CN" w:bidi="ar-SA"/>
        </w:rPr>
        <w:t>95</w:t>
      </w:r>
      <w:r>
        <w:rPr>
          <w:rFonts w:hint="default" w:ascii="仿宋" w:hAnsi="仿宋" w:eastAsia="仿宋" w:cs="仿宋"/>
          <w:b w:val="0"/>
          <w:bCs/>
          <w:kern w:val="2"/>
          <w:sz w:val="28"/>
          <w:szCs w:val="28"/>
          <w:highlight w:val="none"/>
          <w:lang w:val="en-US" w:eastAsia="zh-CN" w:bidi="ar-SA"/>
        </w:rPr>
        <w:t>%</w:t>
      </w:r>
      <w:r>
        <w:rPr>
          <w:rFonts w:hint="eastAsia" w:ascii="仿宋" w:hAnsi="仿宋" w:eastAsia="仿宋" w:cs="仿宋"/>
          <w:b w:val="0"/>
          <w:bCs/>
          <w:kern w:val="2"/>
          <w:sz w:val="28"/>
          <w:szCs w:val="28"/>
          <w:highlight w:val="none"/>
          <w:lang w:val="en-US" w:eastAsia="zh-CN" w:bidi="ar-SA"/>
        </w:rPr>
        <w:t>的目标；猗氏、牛杜新生儿访视全部由村医完成，庙上有140余户新生儿访视由村医完成，访视质量得不到有效保证。</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评价人员抽查的5家基层医疗卫生机构进行评价，经加权平均计算后，本指标权重2分，得分1.21分。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（2）儿童健康管理率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从全市0-6岁儿童健康管理报表可知，0-6岁儿童人数为35774人，辖区内接受1次及以上随访的0-6岁儿童数33234人，儿童健康管理率为92.90%</w:t>
      </w:r>
      <w:bookmarkEnd w:id="201"/>
      <w:r>
        <w:rPr>
          <w:rFonts w:hint="eastAsia" w:ascii="仿宋" w:hAnsi="仿宋" w:eastAsia="仿宋" w:cs="仿宋"/>
          <w:b w:val="0"/>
          <w:bCs/>
          <w:kern w:val="2"/>
          <w:sz w:val="28"/>
          <w:szCs w:val="28"/>
          <w:highlight w:val="none"/>
          <w:lang w:val="en-US" w:eastAsia="zh-CN" w:bidi="ar-SA"/>
        </w:rPr>
        <w:t>，各乡镇0-3岁儿童由当地乡镇卫生院管理，3-6岁由妇幼部门管理。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bookmarkStart w:id="202" w:name="_Toc17120"/>
      <w:r>
        <w:rPr>
          <w:rFonts w:hint="eastAsia" w:ascii="仿宋" w:hAnsi="仿宋" w:eastAsia="仿宋" w:cs="仿宋"/>
          <w:b w:val="0"/>
          <w:bCs/>
          <w:kern w:val="2"/>
          <w:sz w:val="28"/>
          <w:szCs w:val="28"/>
          <w:highlight w:val="none"/>
          <w:lang w:val="en-US" w:eastAsia="zh-CN" w:bidi="ar-SA"/>
        </w:rPr>
        <w:t>评价人员抽查了5家基层医疗卫生机构对本指标进行评价，经加权平均计算后，本指标权重2分，得分2分。</w:t>
      </w:r>
      <w:bookmarkEnd w:id="20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val="0"/>
          <w:kern w:val="2"/>
          <w:sz w:val="28"/>
          <w:szCs w:val="28"/>
          <w:highlight w:val="none"/>
          <w:lang w:val="en-US" w:eastAsia="zh-CN" w:bidi="ar-SA"/>
        </w:rPr>
      </w:pPr>
      <w:bookmarkStart w:id="203" w:name="_Toc20325"/>
      <w:r>
        <w:rPr>
          <w:rFonts w:hint="eastAsia" w:ascii="仿宋" w:hAnsi="仿宋" w:eastAsia="仿宋" w:cs="仿宋"/>
          <w:b/>
          <w:bCs w:val="0"/>
          <w:kern w:val="2"/>
          <w:sz w:val="28"/>
          <w:szCs w:val="28"/>
          <w:highlight w:val="none"/>
          <w:lang w:val="en-US" w:eastAsia="zh-CN" w:bidi="ar-SA"/>
        </w:rPr>
        <w:t>5.孕、产、妇女健康管理，权重6分，得分4.433分</w:t>
      </w:r>
      <w:bookmarkEnd w:id="203"/>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 xml:space="preserve">   孕、产、妇女健康管理主要从孕产妇健康管理、农村妇女“两癌”检查、增补叶酸预防神经管缺陷、免费孕前优生健康检查四个三级指标进行评价，具体如下：</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0"/>
        <w:jc w:val="both"/>
        <w:textAlignment w:val="auto"/>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（1）</w:t>
      </w:r>
      <w:r>
        <w:rPr>
          <w:rFonts w:hint="eastAsia" w:ascii="仿宋" w:hAnsi="仿宋" w:eastAsia="仿宋" w:cs="仿宋"/>
          <w:b/>
          <w:bCs w:val="0"/>
          <w:kern w:val="2"/>
          <w:sz w:val="28"/>
          <w:szCs w:val="28"/>
          <w:highlight w:val="none"/>
          <w:lang w:val="en-US" w:eastAsia="zh-CN" w:bidi="ar-SA"/>
        </w:rPr>
        <w:t>孕产妇健康管理，权重2分，得分1.055分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204" w:name="_Toc19467"/>
      <w:r>
        <w:rPr>
          <w:rFonts w:hint="eastAsia" w:ascii="仿宋" w:hAnsi="仿宋" w:eastAsia="仿宋" w:cs="仿宋"/>
          <w:b w:val="0"/>
          <w:bCs/>
          <w:kern w:val="2"/>
          <w:sz w:val="28"/>
          <w:szCs w:val="28"/>
          <w:highlight w:val="none"/>
          <w:lang w:val="en-US" w:eastAsia="zh-CN" w:bidi="ar-SA"/>
        </w:rPr>
        <w:t>2020年度辖区内活产数为3589人，孕13周之前建册并进行第一次产前检查的产妇人数为3322人，早孕建册率为92.56%，产后访视的人数为3437人，产后访视率为95.76%。</w:t>
      </w:r>
      <w:bookmarkEnd w:id="204"/>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 xml:space="preserve">    在我们抽取的5家孕产妇健康管理机构中，猗氏、庙上、北景的早孕建册率均未达到年度目标任务；猗氏产后访视率未达到年度目标任务；猗氏、牛杜的产后访视全部由村卫生室完成（卫生室有相当一部分是男医生）、庙上产后访视有140余户由村卫生室完成、北景部分产后访视由儿保人员完成，非专业人员无法按规范要求完成产后访视的工作，只能进行一部分简单的测量和询问工作</w:t>
      </w:r>
      <w:r>
        <w:rPr>
          <w:rFonts w:hint="eastAsia" w:ascii="仿宋" w:hAnsi="仿宋" w:eastAsia="仿宋" w:cs="仿宋"/>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205" w:name="_Toc19624"/>
      <w:r>
        <w:rPr>
          <w:rFonts w:hint="eastAsia" w:ascii="仿宋" w:hAnsi="仿宋" w:eastAsia="仿宋" w:cs="仿宋"/>
          <w:b w:val="0"/>
          <w:bCs/>
          <w:kern w:val="2"/>
          <w:sz w:val="28"/>
          <w:szCs w:val="28"/>
          <w:highlight w:val="none"/>
          <w:lang w:val="en-US" w:eastAsia="zh-CN" w:bidi="ar-SA"/>
        </w:rPr>
        <w:t>评价人员抽查了5家基层医疗卫生机构对本指标进行评价，经加权平均计算后，本指标权重2分，得分1.055分。</w:t>
      </w:r>
      <w:bookmarkEnd w:id="205"/>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1"/>
        <w:jc w:val="both"/>
        <w:textAlignment w:val="auto"/>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w:t>
      </w:r>
      <w:r>
        <w:rPr>
          <w:rFonts w:hint="eastAsia" w:ascii="仿宋" w:hAnsi="仿宋" w:eastAsia="仿宋" w:cs="仿宋"/>
          <w:b/>
          <w:bCs w:val="0"/>
          <w:kern w:val="2"/>
          <w:sz w:val="28"/>
          <w:szCs w:val="28"/>
          <w:highlight w:val="none"/>
          <w:lang w:val="en-US" w:eastAsia="zh-CN" w:bidi="ar-SA"/>
        </w:rPr>
        <w:t>农村妇女“两癌”检查，权重2分，得分1.90分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561"/>
        <w:jc w:val="both"/>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2020年山西省级下达临猗县的宫颈癌检查任务数为14000人，实际完成宫颈癌筛查检查人数14000人，完成率为100%。对于可疑病例共转诊阴道镜294例，进一步取组织进行病理检查，共200例,病理结果异常93例，包括：低级别病变27例、高级别病变48例、</w:t>
      </w:r>
      <w:r>
        <w:rPr>
          <w:rFonts w:hint="eastAsia" w:ascii="仿宋" w:hAnsi="仿宋" w:eastAsia="仿宋" w:cs="仿宋"/>
          <w:b w:val="0"/>
          <w:bCs w:val="0"/>
          <w:color w:val="000000"/>
          <w:kern w:val="0"/>
          <w:sz w:val="28"/>
          <w:szCs w:val="28"/>
          <w:lang w:val="en-US" w:eastAsia="zh-CN"/>
        </w:rPr>
        <w:t>浸润癌2例，微小浸润癌16例</w:t>
      </w:r>
      <w:r>
        <w:rPr>
          <w:rFonts w:hint="eastAsia" w:ascii="宋体" w:hAnsi="宋体" w:cs="宋体"/>
          <w:b w:val="0"/>
          <w:bCs w:val="0"/>
          <w:color w:val="000000"/>
          <w:kern w:val="0"/>
          <w:sz w:val="28"/>
          <w:szCs w:val="28"/>
          <w:lang w:val="en-US" w:eastAsia="zh-CN"/>
        </w:rPr>
        <w:t>，</w:t>
      </w:r>
      <w:r>
        <w:rPr>
          <w:rFonts w:hint="eastAsia" w:ascii="仿宋" w:hAnsi="仿宋" w:eastAsia="仿宋" w:cs="仿宋"/>
          <w:b w:val="0"/>
          <w:bCs/>
          <w:kern w:val="2"/>
          <w:sz w:val="28"/>
          <w:szCs w:val="28"/>
          <w:highlight w:val="none"/>
          <w:lang w:val="en-US" w:eastAsia="zh-CN" w:bidi="ar-SA"/>
        </w:rPr>
        <w:t>早诊率为100%，宫颈癌及癌前病变随访率为100%。</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560"/>
        <w:jc w:val="both"/>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2020年山西省级下达临猗县的乳腺癌检查任务数为3000人，实际完成检查人数3062人，完成率为102%，其中检出良性8人，阳性8人（均为浸润性导管癌），乳腺癌检出率为0.26%，早期乳腺癌检出率为62.5%，乳腺癌前病变及乳腺癌治疗随访率100%。</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560"/>
        <w:jc w:val="both"/>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在评价中，我们发现在宫颈癌筛查管理中，转诊阴道镜检人数为294例，但宫颈癌筛查阴道镜登记本的人数与上报给卫生管理部门的人数不一致。</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560"/>
        <w:jc w:val="both"/>
        <w:textAlignment w:val="auto"/>
        <w:rPr>
          <w:rFonts w:hint="default" w:ascii="仿宋" w:hAnsi="仿宋" w:eastAsia="仿宋" w:cs="仿宋"/>
          <w:sz w:val="28"/>
          <w:szCs w:val="28"/>
          <w:lang w:val="en-US" w:eastAsia="zh-CN" w:bidi="ar"/>
        </w:rPr>
      </w:pPr>
      <w:r>
        <w:rPr>
          <w:rFonts w:hint="eastAsia" w:ascii="仿宋" w:hAnsi="仿宋" w:eastAsia="仿宋" w:cs="仿宋"/>
          <w:b w:val="0"/>
          <w:bCs/>
          <w:kern w:val="2"/>
          <w:sz w:val="28"/>
          <w:szCs w:val="28"/>
          <w:highlight w:val="none"/>
          <w:lang w:val="en-US" w:eastAsia="zh-CN" w:bidi="ar-SA"/>
        </w:rPr>
        <w:t>本指标权重2分，依据评分标准扣去0.1分，得分1.90分。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560"/>
        <w:jc w:val="both"/>
        <w:textAlignment w:val="auto"/>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（3）增补叶酸预防神经管缺陷，权重1分，得分0.978分</w:t>
      </w:r>
    </w:p>
    <w:p>
      <w:pPr>
        <w:spacing w:line="560" w:lineRule="exact"/>
        <w:ind w:firstLine="560" w:firstLineChars="200"/>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增补叶酸预防神经管缺陷项目主要是为了</w:t>
      </w:r>
      <w:r>
        <w:rPr>
          <w:rFonts w:hint="default" w:ascii="仿宋" w:hAnsi="仿宋" w:eastAsia="仿宋" w:cs="仿宋"/>
          <w:b w:val="0"/>
          <w:bCs/>
          <w:kern w:val="2"/>
          <w:sz w:val="28"/>
          <w:szCs w:val="28"/>
          <w:highlight w:val="none"/>
          <w:lang w:val="en-US" w:eastAsia="zh-CN" w:bidi="ar-SA"/>
        </w:rPr>
        <w:t>降低神经管缺陷发生率</w:t>
      </w:r>
      <w:r>
        <w:rPr>
          <w:rFonts w:hint="eastAsia" w:ascii="仿宋" w:hAnsi="仿宋" w:eastAsia="仿宋" w:cs="仿宋"/>
          <w:b w:val="0"/>
          <w:bCs/>
          <w:kern w:val="2"/>
          <w:sz w:val="28"/>
          <w:szCs w:val="28"/>
          <w:highlight w:val="none"/>
          <w:lang w:val="en-US" w:eastAsia="zh-CN" w:bidi="ar-SA"/>
        </w:rPr>
        <w:t>，提高出生人口素质。2020年临猗县农村妇女增补叶酸发放项目任务数为4300名准备怀孕的农村妇女和500名城镇妇女。实际完成农村妇女增补叶酸发放4206人，完成率97.81%；城镇妇女增补叶酸发放611人，完成率116.88%。</w:t>
      </w:r>
    </w:p>
    <w:p>
      <w:pPr>
        <w:widowControl/>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rPr>
        <w:t>叶酸服用率</w:t>
      </w:r>
      <w:r>
        <w:rPr>
          <w:rFonts w:hint="eastAsia" w:ascii="仿宋" w:hAnsi="仿宋" w:eastAsia="仿宋" w:cs="仿宋"/>
          <w:sz w:val="28"/>
          <w:szCs w:val="28"/>
          <w:lang w:val="en-US" w:eastAsia="zh-CN"/>
        </w:rPr>
        <w:t>均</w:t>
      </w:r>
      <w:r>
        <w:rPr>
          <w:rFonts w:hint="eastAsia" w:ascii="仿宋" w:hAnsi="仿宋" w:eastAsia="仿宋" w:cs="仿宋"/>
          <w:sz w:val="28"/>
          <w:szCs w:val="28"/>
        </w:rPr>
        <w:t>达到</w:t>
      </w:r>
      <w:r>
        <w:rPr>
          <w:rFonts w:hint="eastAsia" w:ascii="仿宋" w:hAnsi="仿宋" w:eastAsia="仿宋" w:cs="仿宋"/>
          <w:sz w:val="28"/>
          <w:szCs w:val="28"/>
          <w:lang w:val="en-US" w:eastAsia="zh-CN"/>
        </w:rPr>
        <w:t>80</w:t>
      </w:r>
      <w:r>
        <w:rPr>
          <w:rFonts w:hint="eastAsia" w:ascii="仿宋" w:hAnsi="仿宋" w:eastAsia="仿宋" w:cs="仿宋"/>
          <w:sz w:val="28"/>
          <w:szCs w:val="28"/>
        </w:rPr>
        <w:t>%</w:t>
      </w:r>
      <w:r>
        <w:rPr>
          <w:rFonts w:hint="eastAsia" w:ascii="仿宋" w:hAnsi="仿宋" w:eastAsia="仿宋" w:cs="仿宋"/>
          <w:sz w:val="28"/>
          <w:szCs w:val="28"/>
          <w:lang w:val="en-US" w:eastAsia="zh-CN"/>
        </w:rPr>
        <w:t>以上，</w:t>
      </w:r>
      <w:r>
        <w:rPr>
          <w:rFonts w:hint="eastAsia" w:ascii="仿宋" w:hAnsi="仿宋" w:eastAsia="仿宋" w:cs="仿宋"/>
          <w:sz w:val="28"/>
          <w:szCs w:val="28"/>
        </w:rPr>
        <w:t>目标人群增补叶酸知识知晓率</w:t>
      </w:r>
      <w:r>
        <w:rPr>
          <w:rFonts w:hint="eastAsia" w:ascii="仿宋" w:hAnsi="仿宋" w:eastAsia="仿宋" w:cs="仿宋"/>
          <w:sz w:val="28"/>
          <w:szCs w:val="28"/>
          <w:lang w:val="en-US" w:eastAsia="zh-CN"/>
        </w:rPr>
        <w:t>均</w:t>
      </w:r>
      <w:r>
        <w:rPr>
          <w:rFonts w:hint="eastAsia" w:ascii="仿宋" w:hAnsi="仿宋" w:eastAsia="仿宋" w:cs="仿宋"/>
          <w:sz w:val="28"/>
          <w:szCs w:val="28"/>
        </w:rPr>
        <w:t>达到</w:t>
      </w:r>
      <w:r>
        <w:rPr>
          <w:rFonts w:hint="eastAsia" w:ascii="仿宋" w:hAnsi="仿宋" w:eastAsia="仿宋" w:cs="仿宋"/>
          <w:sz w:val="28"/>
          <w:szCs w:val="28"/>
          <w:lang w:val="en-US" w:eastAsia="zh-CN"/>
        </w:rPr>
        <w:t>90</w:t>
      </w:r>
      <w:r>
        <w:rPr>
          <w:rFonts w:hint="eastAsia" w:ascii="仿宋" w:hAnsi="仿宋" w:eastAsia="仿宋" w:cs="仿宋"/>
          <w:sz w:val="28"/>
          <w:szCs w:val="28"/>
        </w:rPr>
        <w:t>％</w:t>
      </w:r>
      <w:r>
        <w:rPr>
          <w:rFonts w:hint="eastAsia" w:ascii="仿宋" w:hAnsi="仿宋" w:eastAsia="仿宋" w:cs="仿宋"/>
          <w:sz w:val="28"/>
          <w:szCs w:val="28"/>
          <w:lang w:val="en-US" w:eastAsia="zh-CN"/>
        </w:rPr>
        <w:t>以上，叶酸服务依从率均达到70%</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该项目主要由村、乡两级卫生机构具体实施，临猗县妇幼保健院做为该项目的指导机构已对该项目的具体实施进行了有效督导。</w:t>
      </w:r>
    </w:p>
    <w:p>
      <w:pPr>
        <w:spacing w:line="560" w:lineRule="exact"/>
        <w:ind w:firstLine="560" w:firstLineChars="200"/>
        <w:outlineLvl w:val="0"/>
        <w:rPr>
          <w:rFonts w:hint="default" w:ascii="仿宋" w:hAnsi="仿宋" w:eastAsia="仿宋" w:cs="仿宋"/>
          <w:sz w:val="28"/>
          <w:szCs w:val="28"/>
          <w:highlight w:val="none"/>
          <w:lang w:val="en-US" w:eastAsia="zh-CN"/>
        </w:rPr>
      </w:pPr>
      <w:r>
        <w:rPr>
          <w:rFonts w:hint="eastAsia" w:ascii="仿宋" w:hAnsi="仿宋" w:eastAsia="仿宋" w:cs="仿宋"/>
          <w:b w:val="0"/>
          <w:bCs/>
          <w:kern w:val="2"/>
          <w:sz w:val="28"/>
          <w:szCs w:val="28"/>
          <w:highlight w:val="none"/>
          <w:lang w:val="en-US" w:eastAsia="zh-CN" w:bidi="ar-SA"/>
        </w:rPr>
        <w:t>农村妇女增补叶酸发放</w:t>
      </w:r>
      <w:r>
        <w:rPr>
          <w:rFonts w:ascii="仿宋" w:hAnsi="仿宋" w:eastAsia="仿宋" w:cs="仿宋"/>
          <w:sz w:val="28"/>
          <w:szCs w:val="28"/>
          <w:highlight w:val="none"/>
        </w:rPr>
        <w:t>指标</w:t>
      </w:r>
      <w:r>
        <w:rPr>
          <w:rFonts w:hint="eastAsia" w:ascii="仿宋" w:hAnsi="仿宋" w:eastAsia="仿宋" w:cs="仿宋"/>
          <w:sz w:val="28"/>
          <w:szCs w:val="28"/>
          <w:highlight w:val="none"/>
        </w:rPr>
        <w:t>得分=（</w:t>
      </w:r>
      <w:r>
        <w:rPr>
          <w:rFonts w:hint="eastAsia" w:ascii="仿宋" w:hAnsi="仿宋" w:eastAsia="仿宋" w:cs="仿宋"/>
          <w:sz w:val="28"/>
          <w:szCs w:val="28"/>
          <w:highlight w:val="none"/>
          <w:lang w:val="en-US" w:eastAsia="zh-CN"/>
        </w:rPr>
        <w:t>97</w:t>
      </w:r>
      <w:r>
        <w:rPr>
          <w:rFonts w:ascii="仿宋" w:hAnsi="仿宋" w:eastAsia="仿宋" w:cs="仿宋"/>
          <w:sz w:val="28"/>
          <w:szCs w:val="28"/>
          <w:highlight w:val="none"/>
        </w:rPr>
        <w:t>.</w:t>
      </w:r>
      <w:r>
        <w:rPr>
          <w:rFonts w:hint="eastAsia" w:ascii="仿宋" w:hAnsi="仿宋" w:eastAsia="仿宋" w:cs="仿宋"/>
          <w:sz w:val="28"/>
          <w:szCs w:val="28"/>
          <w:highlight w:val="none"/>
          <w:lang w:val="en-US" w:eastAsia="zh-CN"/>
        </w:rPr>
        <w:t>81</w:t>
      </w:r>
      <w:r>
        <w:rPr>
          <w:rFonts w:ascii="仿宋" w:hAnsi="仿宋" w:eastAsia="仿宋" w:cs="仿宋"/>
          <w:sz w:val="28"/>
          <w:szCs w:val="28"/>
          <w:highlight w:val="none"/>
        </w:rPr>
        <w:t>%</w:t>
      </w:r>
      <w:r>
        <w:rPr>
          <w:rFonts w:hint="eastAsia" w:ascii="仿宋" w:hAnsi="仿宋" w:eastAsia="仿宋" w:cs="仿宋"/>
          <w:sz w:val="28"/>
          <w:szCs w:val="28"/>
          <w:highlight w:val="none"/>
        </w:rPr>
        <w:t>-</w:t>
      </w:r>
      <w:r>
        <w:rPr>
          <w:rFonts w:ascii="仿宋" w:hAnsi="仿宋" w:eastAsia="仿宋" w:cs="仿宋"/>
          <w:sz w:val="28"/>
          <w:szCs w:val="28"/>
          <w:highlight w:val="none"/>
        </w:rPr>
        <w:t>60</w:t>
      </w:r>
      <w:r>
        <w:rPr>
          <w:rFonts w:hint="eastAsia" w:ascii="仿宋" w:hAnsi="仿宋" w:eastAsia="仿宋" w:cs="仿宋"/>
          <w:sz w:val="28"/>
          <w:szCs w:val="28"/>
          <w:highlight w:val="none"/>
        </w:rPr>
        <w:t>%）/</w:t>
      </w:r>
      <w:r>
        <w:rPr>
          <w:rFonts w:ascii="仿宋" w:hAnsi="仿宋" w:eastAsia="仿宋" w:cs="仿宋"/>
          <w:sz w:val="28"/>
          <w:szCs w:val="28"/>
          <w:highlight w:val="none"/>
        </w:rPr>
        <w:t>40%</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0.4</w:t>
      </w:r>
      <w:r>
        <w:rPr>
          <w:rFonts w:ascii="仿宋" w:hAnsi="仿宋" w:eastAsia="仿宋" w:cs="仿宋"/>
          <w:sz w:val="28"/>
          <w:szCs w:val="28"/>
          <w:highlight w:val="none"/>
        </w:rPr>
        <w:t>=</w:t>
      </w:r>
      <w:r>
        <w:rPr>
          <w:rFonts w:hint="eastAsia" w:ascii="仿宋" w:hAnsi="仿宋" w:eastAsia="仿宋" w:cs="仿宋"/>
          <w:sz w:val="28"/>
          <w:szCs w:val="28"/>
          <w:highlight w:val="none"/>
          <w:lang w:val="en-US" w:eastAsia="zh-CN"/>
        </w:rPr>
        <w:t>0.378</w:t>
      </w:r>
      <w:r>
        <w:rPr>
          <w:rFonts w:hint="eastAsia" w:ascii="仿宋" w:hAnsi="仿宋" w:eastAsia="仿宋" w:cs="仿宋"/>
          <w:sz w:val="28"/>
          <w:szCs w:val="28"/>
          <w:highlight w:val="none"/>
        </w:rPr>
        <w:t>分</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城镇妇女</w:t>
      </w:r>
      <w:r>
        <w:rPr>
          <w:rFonts w:hint="eastAsia" w:ascii="仿宋" w:hAnsi="仿宋" w:eastAsia="仿宋" w:cs="仿宋"/>
          <w:b w:val="0"/>
          <w:bCs/>
          <w:kern w:val="2"/>
          <w:sz w:val="28"/>
          <w:szCs w:val="28"/>
          <w:highlight w:val="none"/>
          <w:lang w:val="en-US" w:eastAsia="zh-CN" w:bidi="ar-SA"/>
        </w:rPr>
        <w:t>增补叶酸发放任务完成得0.3分，</w:t>
      </w:r>
      <w:r>
        <w:rPr>
          <w:rFonts w:hint="eastAsia" w:ascii="仿宋" w:hAnsi="仿宋" w:eastAsia="仿宋" w:cs="仿宋"/>
          <w:sz w:val="28"/>
          <w:szCs w:val="28"/>
          <w:highlight w:val="none"/>
          <w:lang w:val="en-US" w:eastAsia="zh-CN"/>
        </w:rPr>
        <w:t xml:space="preserve">叶酸服务率完成得0.3分。 </w:t>
      </w:r>
    </w:p>
    <w:p>
      <w:pPr>
        <w:spacing w:line="560" w:lineRule="exact"/>
        <w:ind w:firstLine="560" w:firstLineChars="200"/>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本指标权重1分，得分0.978分。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560"/>
        <w:jc w:val="both"/>
        <w:textAlignment w:val="auto"/>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（4）国家免费孕前优生健康检查，权重1分，得分0.5分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ind w:firstLine="561"/>
        <w:jc w:val="both"/>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国家免费孕前优生健康检查是预防和减少出生缺陷发生，提高出生人口素质的重要手段。临猗县2020年度计划对2000对计划怀孕夫妇提供免费孕前优生健康检查，全年实际完成2246对，完成率为112.30%，其中检查异常人数507人。本次评价通过审核资料，发现免费孕前优生健康检查的19项服务内容中，风险评估、早孕和妊娠结局追踪随访工作未具体实施，依据评分标准应扣去0.5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560"/>
        <w:jc w:val="both"/>
        <w:textAlignment w:val="auto"/>
        <w:rPr>
          <w:rFonts w:hint="default" w:ascii="仿宋" w:hAnsi="仿宋" w:eastAsia="仿宋" w:cs="仿宋"/>
          <w:sz w:val="28"/>
          <w:szCs w:val="28"/>
          <w:lang w:val="en-US" w:eastAsia="zh-CN"/>
        </w:rPr>
      </w:pPr>
      <w:r>
        <w:rPr>
          <w:rFonts w:hint="eastAsia" w:ascii="仿宋" w:hAnsi="仿宋" w:eastAsia="仿宋" w:cs="仿宋"/>
          <w:b w:val="0"/>
          <w:bCs/>
          <w:kern w:val="2"/>
          <w:sz w:val="28"/>
          <w:szCs w:val="28"/>
          <w:highlight w:val="none"/>
          <w:lang w:val="en-US" w:eastAsia="zh-CN" w:bidi="ar-SA"/>
        </w:rPr>
        <w:t>本指标权重1分，得分0.5分。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val="0"/>
          <w:kern w:val="2"/>
          <w:sz w:val="28"/>
          <w:szCs w:val="28"/>
          <w:highlight w:val="none"/>
          <w:lang w:val="en-US" w:eastAsia="zh-CN" w:bidi="ar-SA"/>
        </w:rPr>
      </w:pPr>
      <w:bookmarkStart w:id="206" w:name="_Toc3988"/>
      <w:r>
        <w:rPr>
          <w:rFonts w:hint="eastAsia" w:ascii="仿宋" w:hAnsi="仿宋" w:eastAsia="仿宋" w:cs="仿宋"/>
          <w:b/>
          <w:bCs w:val="0"/>
          <w:kern w:val="2"/>
          <w:sz w:val="28"/>
          <w:szCs w:val="28"/>
          <w:highlight w:val="none"/>
          <w:lang w:val="en-US" w:eastAsia="zh-CN" w:bidi="ar-SA"/>
        </w:rPr>
        <w:t>6.老年人健康管理，权重3分，得分1.364分</w:t>
      </w:r>
      <w:bookmarkEnd w:id="20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bookmarkStart w:id="207" w:name="_Toc16186"/>
      <w:bookmarkStart w:id="208" w:name="_Toc19204_WPSOffice_Level1"/>
      <w:r>
        <w:rPr>
          <w:rFonts w:hint="eastAsia" w:ascii="仿宋" w:hAnsi="仿宋" w:eastAsia="仿宋" w:cs="仿宋"/>
          <w:b w:val="0"/>
          <w:bCs/>
          <w:kern w:val="2"/>
          <w:sz w:val="28"/>
          <w:szCs w:val="28"/>
          <w:highlight w:val="none"/>
          <w:lang w:val="en-US" w:eastAsia="zh-CN" w:bidi="ar-SA"/>
        </w:rPr>
        <w:t>（1）老年人健康管理率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本次核查的5家基层基本公卫机构均按照2020年实施方案要求，对本区域内的65岁及以上老年人和50岁及以上建档立卡贫困户人口进行了摸底，确定了具体的人数；50岁以上建档立卡贫困户基本做到了应检尽检的要求；2020年度辖区内的65岁及以上常住老年人为65319人，健康管理的人数为55702人，健康管理率为85.27%，完成了老年人健康管理的年度目标任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在实际评价是过程，我们通过查看临猗县卫生健康和体育局的2020年基本公卫工作量核查表、各基层机构的体检花名册，在抽评的基层机构中抽查调阅40份档案并下村调查30份，发现</w:t>
      </w:r>
      <w:bookmarkEnd w:id="207"/>
      <w:bookmarkStart w:id="209" w:name="_Toc13050"/>
      <w:r>
        <w:rPr>
          <w:rFonts w:hint="eastAsia" w:ascii="仿宋" w:hAnsi="仿宋" w:eastAsia="仿宋" w:cs="仿宋"/>
          <w:b w:val="0"/>
          <w:bCs/>
          <w:kern w:val="2"/>
          <w:sz w:val="28"/>
          <w:szCs w:val="28"/>
          <w:highlight w:val="none"/>
          <w:lang w:val="en-US" w:eastAsia="zh-CN" w:bidi="ar-SA"/>
        </w:rPr>
        <w:t>部分基层机构老年人健康体检花名册中有虚报体检人数的情况、连续两年体检血压超标仍未列入慢病管理、失访人数较多、对体检结果反馈工作不重视等情况。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评价人员抽查了5家基层医疗机构对本指标进行评价，经加权平均计算后，本指标权重2分，得分1.164分。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（2）老年人健康与医养结合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临猗县65岁以上老年人医养结合服务工作2020年尚未完全开展，2020年65岁以上老年人医养结合服务人口仅为33人。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本指标权重1分，得分0.20分。</w:t>
      </w:r>
      <w:bookmarkEnd w:id="20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val="0"/>
          <w:kern w:val="2"/>
          <w:sz w:val="28"/>
          <w:szCs w:val="28"/>
          <w:highlight w:val="none"/>
          <w:lang w:val="en-US" w:eastAsia="zh-CN" w:bidi="ar-SA"/>
        </w:rPr>
      </w:pPr>
      <w:bookmarkStart w:id="210" w:name="_Toc19412"/>
      <w:r>
        <w:rPr>
          <w:rFonts w:hint="eastAsia" w:ascii="仿宋" w:hAnsi="仿宋" w:eastAsia="仿宋" w:cs="仿宋"/>
          <w:b/>
          <w:bCs w:val="0"/>
          <w:kern w:val="2"/>
          <w:sz w:val="28"/>
          <w:szCs w:val="28"/>
          <w:highlight w:val="none"/>
          <w:lang w:val="en-US" w:eastAsia="zh-CN" w:bidi="ar-SA"/>
        </w:rPr>
        <w:t>7.慢性病健康管理，权重4分，得分2.155分</w:t>
      </w:r>
      <w:bookmarkEnd w:id="21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bookmarkStart w:id="211" w:name="_Toc4885"/>
      <w:r>
        <w:rPr>
          <w:rFonts w:hint="eastAsia" w:ascii="仿宋" w:hAnsi="仿宋" w:eastAsia="仿宋" w:cs="仿宋"/>
          <w:b w:val="0"/>
          <w:bCs/>
          <w:kern w:val="2"/>
          <w:sz w:val="28"/>
          <w:szCs w:val="28"/>
          <w:highlight w:val="none"/>
          <w:lang w:val="en-US" w:eastAsia="zh-CN" w:bidi="ar-SA"/>
        </w:rPr>
        <w:t>（1）</w:t>
      </w:r>
      <w:r>
        <w:rPr>
          <w:rFonts w:hint="default" w:ascii="仿宋" w:hAnsi="仿宋" w:eastAsia="仿宋" w:cs="仿宋"/>
          <w:b w:val="0"/>
          <w:bCs/>
          <w:kern w:val="2"/>
          <w:sz w:val="28"/>
          <w:szCs w:val="28"/>
          <w:highlight w:val="none"/>
          <w:lang w:val="en-US" w:eastAsia="zh-CN" w:bidi="ar-SA"/>
        </w:rPr>
        <w:t>高血压患者</w:t>
      </w:r>
      <w:r>
        <w:rPr>
          <w:rFonts w:hint="eastAsia" w:ascii="仿宋" w:hAnsi="仿宋" w:eastAsia="仿宋" w:cs="仿宋"/>
          <w:b w:val="0"/>
          <w:bCs/>
          <w:kern w:val="2"/>
          <w:sz w:val="28"/>
          <w:szCs w:val="28"/>
          <w:highlight w:val="none"/>
          <w:lang w:val="en-US" w:eastAsia="zh-CN" w:bidi="ar-SA"/>
        </w:rPr>
        <w:t>规范</w:t>
      </w:r>
      <w:r>
        <w:rPr>
          <w:rFonts w:hint="default" w:ascii="仿宋" w:hAnsi="仿宋" w:eastAsia="仿宋" w:cs="仿宋"/>
          <w:b w:val="0"/>
          <w:bCs/>
          <w:kern w:val="2"/>
          <w:sz w:val="28"/>
          <w:szCs w:val="28"/>
          <w:highlight w:val="none"/>
          <w:lang w:val="en-US" w:eastAsia="zh-CN" w:bidi="ar-SA"/>
        </w:rPr>
        <w:t>管理率</w:t>
      </w:r>
      <w:bookmarkEnd w:id="21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212" w:name="_Toc8406"/>
      <w:r>
        <w:rPr>
          <w:rFonts w:hint="eastAsia" w:ascii="仿宋" w:hAnsi="仿宋" w:eastAsia="仿宋" w:cs="仿宋"/>
          <w:b w:val="0"/>
          <w:bCs/>
          <w:kern w:val="2"/>
          <w:sz w:val="28"/>
          <w:szCs w:val="28"/>
          <w:highlight w:val="none"/>
          <w:lang w:val="en-US" w:eastAsia="zh-CN" w:bidi="ar-SA"/>
        </w:rPr>
        <w:t>2020年内辖区内高血压患者应管理人数为103338人，2020年度辖区内已管理的高血压患者人数为42367人，规范管理的人数为24043人，规范管理率为56.70%。</w:t>
      </w:r>
      <w:bookmarkEnd w:id="212"/>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bookmarkStart w:id="213" w:name="_Toc16788"/>
      <w:r>
        <w:rPr>
          <w:rFonts w:hint="default" w:ascii="仿宋" w:hAnsi="仿宋" w:eastAsia="仿宋" w:cs="仿宋"/>
          <w:b w:val="0"/>
          <w:bCs/>
          <w:kern w:val="2"/>
          <w:sz w:val="28"/>
          <w:szCs w:val="28"/>
          <w:highlight w:val="none"/>
          <w:lang w:val="en-US" w:eastAsia="zh-CN" w:bidi="ar-SA"/>
        </w:rPr>
        <w:t xml:space="preserve"> 2型糖尿病患者</w:t>
      </w:r>
      <w:r>
        <w:rPr>
          <w:rFonts w:hint="eastAsia" w:ascii="仿宋" w:hAnsi="仿宋" w:eastAsia="仿宋" w:cs="仿宋"/>
          <w:b w:val="0"/>
          <w:bCs/>
          <w:kern w:val="2"/>
          <w:sz w:val="28"/>
          <w:szCs w:val="28"/>
          <w:highlight w:val="none"/>
          <w:lang w:val="en-US" w:eastAsia="zh-CN" w:bidi="ar-SA"/>
        </w:rPr>
        <w:t>规范</w:t>
      </w:r>
      <w:r>
        <w:rPr>
          <w:rFonts w:hint="default" w:ascii="仿宋" w:hAnsi="仿宋" w:eastAsia="仿宋" w:cs="仿宋"/>
          <w:b w:val="0"/>
          <w:bCs/>
          <w:kern w:val="2"/>
          <w:sz w:val="28"/>
          <w:szCs w:val="28"/>
          <w:highlight w:val="none"/>
          <w:lang w:val="en-US" w:eastAsia="zh-CN" w:bidi="ar-SA"/>
        </w:rPr>
        <w:t>管理率</w:t>
      </w:r>
      <w:bookmarkEnd w:id="21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214" w:name="_Toc24747"/>
      <w:r>
        <w:rPr>
          <w:rFonts w:hint="eastAsia" w:ascii="仿宋" w:hAnsi="仿宋" w:eastAsia="仿宋" w:cs="仿宋"/>
          <w:b w:val="0"/>
          <w:bCs/>
          <w:kern w:val="2"/>
          <w:sz w:val="28"/>
          <w:szCs w:val="28"/>
          <w:highlight w:val="none"/>
          <w:lang w:val="en-US" w:eastAsia="zh-CN" w:bidi="ar-SA"/>
        </w:rPr>
        <w:t>2020年度辖区内2型糖尿病患者应管理数为39804人，已管理的</w:t>
      </w:r>
      <w:r>
        <w:rPr>
          <w:rFonts w:hint="default" w:ascii="仿宋" w:hAnsi="仿宋" w:eastAsia="仿宋" w:cs="仿宋"/>
          <w:b w:val="0"/>
          <w:bCs/>
          <w:kern w:val="2"/>
          <w:sz w:val="28"/>
          <w:szCs w:val="28"/>
          <w:highlight w:val="none"/>
          <w:lang w:val="en-US" w:eastAsia="zh-CN" w:bidi="ar-SA"/>
        </w:rPr>
        <w:t>2型糖尿病患者</w:t>
      </w:r>
      <w:r>
        <w:rPr>
          <w:rFonts w:hint="eastAsia" w:ascii="仿宋" w:hAnsi="仿宋" w:eastAsia="仿宋" w:cs="仿宋"/>
          <w:b w:val="0"/>
          <w:bCs/>
          <w:kern w:val="2"/>
          <w:sz w:val="28"/>
          <w:szCs w:val="28"/>
          <w:highlight w:val="none"/>
          <w:lang w:val="en-US" w:eastAsia="zh-CN" w:bidi="ar-SA"/>
        </w:rPr>
        <w:t>人数为10562人，规范管理的人数为6156人，规范管理率为58.30%。</w:t>
      </w:r>
      <w:bookmarkEnd w:id="214"/>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高血压和糖尿病患者规范管理率均未达到年度目标，且糖尿病已管理人数未能达到年度目标要求的13930人；在实际评价中，我们通过电话回访、核对卫生院与村级卫生室资金结算明细表，查看疾控部门和卫体委的年度督导报告、查看卫生院对村级卫生室的年度督导报告，发现存在高血压和糖尿病患者规范管理人中的随访未能完全做到面对面随访、随访记录不实，随访率虚高，应纳未纳入慢病随访等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highlight w:val="yellow"/>
          <w:lang w:val="en-US" w:eastAsia="zh-CN"/>
        </w:rPr>
      </w:pPr>
      <w:bookmarkStart w:id="215" w:name="_Toc5331"/>
      <w:r>
        <w:rPr>
          <w:rFonts w:hint="eastAsia" w:ascii="仿宋" w:hAnsi="仿宋" w:eastAsia="仿宋" w:cs="仿宋"/>
          <w:b w:val="0"/>
          <w:bCs/>
          <w:kern w:val="2"/>
          <w:sz w:val="28"/>
          <w:szCs w:val="28"/>
          <w:highlight w:val="none"/>
          <w:lang w:val="en-US" w:eastAsia="zh-CN" w:bidi="ar-SA"/>
        </w:rPr>
        <w:t>评价人员抽查了5家基层医疗卫生机构对本指标进行评价，经加权平均计算后，慢性病健康管理指标权重4分，得分2.155分。</w:t>
      </w:r>
      <w:bookmarkEnd w:id="21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val="0"/>
          <w:kern w:val="2"/>
          <w:sz w:val="28"/>
          <w:szCs w:val="28"/>
          <w:highlight w:val="none"/>
          <w:lang w:val="en-US" w:eastAsia="zh-CN" w:bidi="ar-SA"/>
        </w:rPr>
      </w:pPr>
      <w:bookmarkStart w:id="216" w:name="_Toc3653"/>
      <w:r>
        <w:rPr>
          <w:rFonts w:hint="eastAsia" w:ascii="仿宋" w:hAnsi="仿宋" w:eastAsia="仿宋" w:cs="仿宋"/>
          <w:b/>
          <w:bCs w:val="0"/>
          <w:kern w:val="2"/>
          <w:sz w:val="28"/>
          <w:szCs w:val="28"/>
          <w:highlight w:val="none"/>
          <w:lang w:val="en-US" w:eastAsia="zh-CN" w:bidi="ar-SA"/>
        </w:rPr>
        <w:t>8.</w:t>
      </w:r>
      <w:r>
        <w:rPr>
          <w:rFonts w:hint="default" w:ascii="仿宋" w:hAnsi="仿宋" w:eastAsia="仿宋" w:cs="仿宋"/>
          <w:b/>
          <w:bCs w:val="0"/>
          <w:kern w:val="2"/>
          <w:sz w:val="28"/>
          <w:szCs w:val="28"/>
          <w:highlight w:val="none"/>
          <w:lang w:val="en-US" w:eastAsia="zh-CN" w:bidi="ar-SA"/>
        </w:rPr>
        <w:t>严重精神障碍患者规范管理率</w:t>
      </w:r>
      <w:r>
        <w:rPr>
          <w:rFonts w:hint="eastAsia" w:ascii="仿宋" w:hAnsi="仿宋" w:eastAsia="仿宋" w:cs="仿宋"/>
          <w:b/>
          <w:bCs w:val="0"/>
          <w:kern w:val="2"/>
          <w:sz w:val="28"/>
          <w:szCs w:val="28"/>
          <w:highlight w:val="none"/>
          <w:lang w:val="en-US" w:eastAsia="zh-CN" w:bidi="ar-SA"/>
        </w:rPr>
        <w:t>，权重1分，得分0.864分</w:t>
      </w:r>
      <w:bookmarkEnd w:id="21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bookmarkStart w:id="217" w:name="_Toc16802"/>
      <w:r>
        <w:rPr>
          <w:rFonts w:hint="eastAsia" w:ascii="仿宋" w:hAnsi="仿宋" w:eastAsia="仿宋" w:cs="仿宋"/>
          <w:b w:val="0"/>
          <w:bCs/>
          <w:kern w:val="2"/>
          <w:sz w:val="28"/>
          <w:szCs w:val="28"/>
          <w:highlight w:val="none"/>
          <w:lang w:val="en-US" w:eastAsia="zh-CN" w:bidi="ar-SA"/>
        </w:rPr>
        <w:t>2020年度辖区内登记在册的确诊严重精神障碍患者人数为2937人，规范管理的人数为2719人，规范管理率为92.58%</w:t>
      </w:r>
      <w:bookmarkEnd w:id="217"/>
      <w:r>
        <w:rPr>
          <w:rFonts w:hint="eastAsia" w:ascii="仿宋" w:hAnsi="仿宋" w:eastAsia="仿宋" w:cs="仿宋"/>
          <w:b w:val="0"/>
          <w:bCs/>
          <w:kern w:val="2"/>
          <w:sz w:val="28"/>
          <w:szCs w:val="28"/>
          <w:highlight w:val="none"/>
          <w:lang w:val="en-US" w:eastAsia="zh-CN" w:bidi="ar-SA"/>
        </w:rPr>
        <w:t>；服药人数为2523人，服药率为85.9%.</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highlight w:val="yellow"/>
          <w:lang w:val="en-US" w:eastAsia="zh-CN"/>
        </w:rPr>
      </w:pPr>
      <w:bookmarkStart w:id="218" w:name="_Toc25634"/>
      <w:r>
        <w:rPr>
          <w:rFonts w:hint="eastAsia" w:ascii="仿宋" w:hAnsi="仿宋" w:eastAsia="仿宋" w:cs="仿宋"/>
          <w:b w:val="0"/>
          <w:bCs/>
          <w:kern w:val="2"/>
          <w:sz w:val="28"/>
          <w:szCs w:val="28"/>
          <w:highlight w:val="none"/>
          <w:lang w:val="en-US" w:eastAsia="zh-CN" w:bidi="ar-SA"/>
        </w:rPr>
        <w:t>评价人员抽查了4家基层医疗卫生机构对本指标进行评价，猗氏卫生院严重精神障碍患者服药率未达到要求，牛杜</w:t>
      </w:r>
      <w:r>
        <w:rPr>
          <w:rFonts w:hint="eastAsia" w:ascii="仿宋" w:hAnsi="仿宋" w:eastAsia="仿宋" w:cs="仿宋"/>
          <w:sz w:val="28"/>
          <w:szCs w:val="36"/>
          <w:lang w:val="en-US" w:eastAsia="zh-CN"/>
        </w:rPr>
        <w:t>患者档案中有药剂指导用药量填写有误等情况，</w:t>
      </w:r>
      <w:r>
        <w:rPr>
          <w:rFonts w:hint="eastAsia" w:ascii="仿宋" w:hAnsi="仿宋" w:eastAsia="仿宋" w:cs="仿宋"/>
          <w:b w:val="0"/>
          <w:bCs/>
          <w:kern w:val="2"/>
          <w:sz w:val="28"/>
          <w:szCs w:val="28"/>
          <w:highlight w:val="none"/>
          <w:lang w:val="en-US" w:eastAsia="zh-CN" w:bidi="ar-SA"/>
        </w:rPr>
        <w:t>经加权平均计算后，本指标权重1分，得分0.864分。</w:t>
      </w:r>
      <w:bookmarkEnd w:id="21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bookmarkStart w:id="219" w:name="_Toc13262"/>
      <w:r>
        <w:rPr>
          <w:rFonts w:hint="eastAsia" w:ascii="仿宋" w:hAnsi="仿宋" w:eastAsia="仿宋" w:cs="仿宋"/>
          <w:b/>
          <w:bCs w:val="0"/>
          <w:kern w:val="2"/>
          <w:sz w:val="28"/>
          <w:szCs w:val="28"/>
          <w:highlight w:val="none"/>
          <w:lang w:val="en-US" w:eastAsia="zh-CN" w:bidi="ar-SA"/>
        </w:rPr>
        <w:t>9.</w:t>
      </w:r>
      <w:r>
        <w:rPr>
          <w:rFonts w:hint="default" w:ascii="仿宋" w:hAnsi="仿宋" w:eastAsia="仿宋" w:cs="仿宋"/>
          <w:b/>
          <w:bCs w:val="0"/>
          <w:kern w:val="2"/>
          <w:sz w:val="28"/>
          <w:szCs w:val="28"/>
          <w:highlight w:val="none"/>
          <w:lang w:val="en-US" w:eastAsia="zh-CN" w:bidi="ar-SA"/>
        </w:rPr>
        <w:t>结核病患者健康管理</w:t>
      </w:r>
      <w:r>
        <w:rPr>
          <w:rFonts w:hint="eastAsia" w:ascii="仿宋" w:hAnsi="仿宋" w:eastAsia="仿宋" w:cs="仿宋"/>
          <w:b/>
          <w:bCs w:val="0"/>
          <w:kern w:val="2"/>
          <w:sz w:val="28"/>
          <w:szCs w:val="28"/>
          <w:highlight w:val="none"/>
          <w:lang w:val="en-US" w:eastAsia="zh-CN" w:bidi="ar-SA"/>
        </w:rPr>
        <w:t>，权重1分，得分1分</w:t>
      </w:r>
      <w:bookmarkEnd w:id="21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220" w:name="_Toc6258"/>
      <w:r>
        <w:rPr>
          <w:rFonts w:hint="eastAsia" w:ascii="仿宋" w:hAnsi="仿宋" w:eastAsia="仿宋" w:cs="仿宋"/>
          <w:b w:val="0"/>
          <w:bCs/>
          <w:kern w:val="2"/>
          <w:sz w:val="28"/>
          <w:szCs w:val="28"/>
          <w:highlight w:val="none"/>
          <w:lang w:val="en-US" w:eastAsia="zh-CN" w:bidi="ar-SA"/>
        </w:rPr>
        <w:t>2020年度辖区同期内经上级定点医疗机构确诊并通知基层医疗卫生机构管理的肺结核患者人数为137人,已管理的肺结核人数为137人，肺结核患者的管理率为100.00%。</w:t>
      </w:r>
      <w:bookmarkEnd w:id="22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同期辖区内已完成治疗的肺结核患者人数为120人，按照要求规则服药的肺结核患者人数为118人，肺结核患者规则服药率98%。</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highlight w:val="none"/>
          <w:lang w:val="en-US" w:eastAsia="zh-CN"/>
        </w:rPr>
      </w:pPr>
      <w:bookmarkStart w:id="221" w:name="_Toc17399"/>
      <w:r>
        <w:rPr>
          <w:rFonts w:hint="eastAsia" w:ascii="仿宋" w:hAnsi="仿宋" w:eastAsia="仿宋" w:cs="仿宋"/>
          <w:b w:val="0"/>
          <w:bCs/>
          <w:kern w:val="2"/>
          <w:sz w:val="28"/>
          <w:szCs w:val="28"/>
          <w:highlight w:val="none"/>
          <w:lang w:val="en-US" w:eastAsia="zh-CN" w:bidi="ar-SA"/>
        </w:rPr>
        <w:t>评价人员抽查了4家基层医疗卫生机构对本指标进行评价，经对各机构打分并加权平均计算后，本指标权重1分，得分1分。</w:t>
      </w:r>
      <w:bookmarkEnd w:id="22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val="0"/>
          <w:kern w:val="2"/>
          <w:sz w:val="28"/>
          <w:szCs w:val="28"/>
          <w:highlight w:val="none"/>
          <w:lang w:val="en-US" w:eastAsia="zh-CN" w:bidi="ar-SA"/>
        </w:rPr>
      </w:pPr>
      <w:bookmarkStart w:id="222" w:name="_Toc30661"/>
      <w:r>
        <w:rPr>
          <w:rFonts w:hint="eastAsia" w:ascii="仿宋" w:hAnsi="仿宋" w:eastAsia="仿宋" w:cs="仿宋"/>
          <w:b/>
          <w:bCs w:val="0"/>
          <w:kern w:val="2"/>
          <w:sz w:val="28"/>
          <w:szCs w:val="28"/>
          <w:highlight w:val="none"/>
          <w:lang w:val="en-US" w:eastAsia="zh-CN" w:bidi="ar-SA"/>
        </w:rPr>
        <w:t>10.</w:t>
      </w:r>
      <w:r>
        <w:rPr>
          <w:rFonts w:hint="default" w:ascii="仿宋" w:hAnsi="仿宋" w:eastAsia="仿宋" w:cs="仿宋"/>
          <w:b/>
          <w:bCs w:val="0"/>
          <w:kern w:val="2"/>
          <w:sz w:val="28"/>
          <w:szCs w:val="28"/>
          <w:highlight w:val="none"/>
          <w:lang w:val="en-US" w:eastAsia="zh-CN" w:bidi="ar-SA"/>
        </w:rPr>
        <w:t>中医药健康管理</w:t>
      </w:r>
      <w:r>
        <w:rPr>
          <w:rFonts w:hint="eastAsia" w:ascii="仿宋" w:hAnsi="仿宋" w:eastAsia="仿宋" w:cs="仿宋"/>
          <w:b/>
          <w:bCs w:val="0"/>
          <w:kern w:val="2"/>
          <w:sz w:val="28"/>
          <w:szCs w:val="28"/>
          <w:highlight w:val="none"/>
          <w:lang w:val="en-US" w:eastAsia="zh-CN" w:bidi="ar-SA"/>
        </w:rPr>
        <w:t>，权重2分，得分0.806分</w:t>
      </w:r>
      <w:bookmarkEnd w:id="22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bookmarkStart w:id="223" w:name="_Toc12596"/>
      <w:r>
        <w:rPr>
          <w:rFonts w:hint="eastAsia" w:ascii="仿宋" w:hAnsi="仿宋" w:eastAsia="仿宋" w:cs="仿宋"/>
          <w:b/>
          <w:bCs w:val="0"/>
          <w:kern w:val="2"/>
          <w:sz w:val="28"/>
          <w:szCs w:val="28"/>
          <w:highlight w:val="none"/>
          <w:lang w:val="en-US" w:eastAsia="zh-CN" w:bidi="ar-SA"/>
        </w:rPr>
        <w:t>（1）</w:t>
      </w:r>
      <w:r>
        <w:rPr>
          <w:rFonts w:hint="default" w:ascii="仿宋" w:hAnsi="仿宋" w:eastAsia="仿宋" w:cs="仿宋"/>
          <w:b/>
          <w:bCs w:val="0"/>
          <w:kern w:val="2"/>
          <w:sz w:val="28"/>
          <w:szCs w:val="28"/>
          <w:highlight w:val="none"/>
          <w:lang w:val="en-US" w:eastAsia="zh-CN" w:bidi="ar-SA"/>
        </w:rPr>
        <w:t>老年人中医药健康管理率</w:t>
      </w:r>
      <w:bookmarkEnd w:id="22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bookmarkStart w:id="224" w:name="_Toc24207"/>
      <w:r>
        <w:rPr>
          <w:rFonts w:hint="default" w:ascii="仿宋" w:hAnsi="仿宋" w:eastAsia="仿宋" w:cs="仿宋"/>
          <w:b w:val="0"/>
          <w:bCs/>
          <w:kern w:val="2"/>
          <w:sz w:val="28"/>
          <w:szCs w:val="28"/>
          <w:highlight w:val="none"/>
          <w:lang w:val="en-US" w:eastAsia="zh-CN" w:bidi="ar-SA"/>
        </w:rPr>
        <w:t>20</w:t>
      </w:r>
      <w:r>
        <w:rPr>
          <w:rFonts w:hint="eastAsia" w:ascii="仿宋" w:hAnsi="仿宋" w:eastAsia="仿宋" w:cs="仿宋"/>
          <w:b w:val="0"/>
          <w:bCs/>
          <w:kern w:val="2"/>
          <w:sz w:val="28"/>
          <w:szCs w:val="28"/>
          <w:highlight w:val="none"/>
          <w:lang w:val="en-US" w:eastAsia="zh-CN" w:bidi="ar-SA"/>
        </w:rPr>
        <w:t>20</w:t>
      </w:r>
      <w:r>
        <w:rPr>
          <w:rFonts w:hint="default" w:ascii="仿宋" w:hAnsi="仿宋" w:eastAsia="仿宋" w:cs="仿宋"/>
          <w:b w:val="0"/>
          <w:bCs/>
          <w:kern w:val="2"/>
          <w:sz w:val="28"/>
          <w:szCs w:val="28"/>
          <w:highlight w:val="none"/>
          <w:lang w:val="en-US" w:eastAsia="zh-CN" w:bidi="ar-SA"/>
        </w:rPr>
        <w:t>年度辖区内的65岁及以上常住老年人为</w:t>
      </w:r>
      <w:r>
        <w:rPr>
          <w:rFonts w:hint="eastAsia" w:ascii="仿宋" w:hAnsi="仿宋" w:eastAsia="仿宋" w:cs="仿宋"/>
          <w:b w:val="0"/>
          <w:bCs/>
          <w:kern w:val="2"/>
          <w:sz w:val="28"/>
          <w:szCs w:val="28"/>
          <w:highlight w:val="none"/>
          <w:lang w:val="en-US" w:eastAsia="zh-CN" w:bidi="ar-SA"/>
        </w:rPr>
        <w:t>65319</w:t>
      </w:r>
      <w:r>
        <w:rPr>
          <w:rFonts w:hint="default" w:ascii="仿宋" w:hAnsi="仿宋" w:eastAsia="仿宋" w:cs="仿宋"/>
          <w:b w:val="0"/>
          <w:bCs/>
          <w:kern w:val="2"/>
          <w:sz w:val="28"/>
          <w:szCs w:val="28"/>
          <w:highlight w:val="none"/>
          <w:lang w:val="en-US" w:eastAsia="zh-CN" w:bidi="ar-SA"/>
        </w:rPr>
        <w:t>人，</w:t>
      </w:r>
      <w:r>
        <w:rPr>
          <w:rFonts w:hint="eastAsia" w:ascii="仿宋" w:hAnsi="仿宋" w:eastAsia="仿宋" w:cs="仿宋"/>
          <w:b w:val="0"/>
          <w:bCs/>
          <w:kern w:val="2"/>
          <w:sz w:val="28"/>
          <w:szCs w:val="28"/>
          <w:highlight w:val="none"/>
          <w:lang w:val="en-US" w:eastAsia="zh-CN" w:bidi="ar-SA"/>
        </w:rPr>
        <w:t>接受中医药健康管理服务的人数为54374人，中医药</w:t>
      </w:r>
      <w:r>
        <w:rPr>
          <w:rFonts w:hint="default" w:ascii="仿宋" w:hAnsi="仿宋" w:eastAsia="仿宋" w:cs="仿宋"/>
          <w:b w:val="0"/>
          <w:bCs/>
          <w:kern w:val="2"/>
          <w:sz w:val="28"/>
          <w:szCs w:val="28"/>
          <w:highlight w:val="none"/>
          <w:lang w:val="en-US" w:eastAsia="zh-CN" w:bidi="ar-SA"/>
        </w:rPr>
        <w:t>健康管理率为</w:t>
      </w:r>
      <w:r>
        <w:rPr>
          <w:rFonts w:hint="eastAsia" w:ascii="仿宋" w:hAnsi="仿宋" w:eastAsia="仿宋" w:cs="仿宋"/>
          <w:b w:val="0"/>
          <w:bCs/>
          <w:kern w:val="2"/>
          <w:sz w:val="28"/>
          <w:szCs w:val="28"/>
          <w:highlight w:val="none"/>
          <w:lang w:val="en-US" w:eastAsia="zh-CN" w:bidi="ar-SA"/>
        </w:rPr>
        <w:t>83.24</w:t>
      </w:r>
      <w:r>
        <w:rPr>
          <w:rFonts w:hint="default" w:ascii="仿宋" w:hAnsi="仿宋" w:eastAsia="仿宋" w:cs="仿宋"/>
          <w:b w:val="0"/>
          <w:bCs/>
          <w:kern w:val="2"/>
          <w:sz w:val="28"/>
          <w:szCs w:val="28"/>
          <w:highlight w:val="none"/>
          <w:lang w:val="en-US" w:eastAsia="zh-CN" w:bidi="ar-SA"/>
        </w:rPr>
        <w:t>%。</w:t>
      </w:r>
      <w:bookmarkEnd w:id="22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highlight w:val="none"/>
          <w:lang w:val="en-US" w:eastAsia="zh-CN"/>
        </w:rPr>
      </w:pPr>
      <w:bookmarkStart w:id="225" w:name="_Toc248"/>
      <w:r>
        <w:rPr>
          <w:rFonts w:hint="default" w:ascii="仿宋" w:hAnsi="仿宋" w:eastAsia="仿宋" w:cs="仿宋"/>
          <w:b w:val="0"/>
          <w:bCs/>
          <w:kern w:val="2"/>
          <w:sz w:val="28"/>
          <w:szCs w:val="28"/>
          <w:highlight w:val="none"/>
          <w:lang w:val="en-US" w:eastAsia="zh-CN" w:bidi="ar-SA"/>
        </w:rPr>
        <w:t>评价人员抽查了</w:t>
      </w:r>
      <w:r>
        <w:rPr>
          <w:rFonts w:hint="eastAsia" w:ascii="仿宋" w:hAnsi="仿宋" w:eastAsia="仿宋" w:cs="仿宋"/>
          <w:b w:val="0"/>
          <w:bCs/>
          <w:kern w:val="2"/>
          <w:sz w:val="28"/>
          <w:szCs w:val="28"/>
          <w:highlight w:val="none"/>
          <w:lang w:val="en-US" w:eastAsia="zh-CN" w:bidi="ar-SA"/>
        </w:rPr>
        <w:t>5家</w:t>
      </w:r>
      <w:r>
        <w:rPr>
          <w:rFonts w:hint="default" w:ascii="仿宋" w:hAnsi="仿宋" w:eastAsia="仿宋" w:cs="仿宋"/>
          <w:b w:val="0"/>
          <w:bCs/>
          <w:kern w:val="2"/>
          <w:sz w:val="28"/>
          <w:szCs w:val="28"/>
          <w:highlight w:val="none"/>
          <w:lang w:val="en-US" w:eastAsia="zh-CN" w:bidi="ar-SA"/>
        </w:rPr>
        <w:t>基层医疗卫生机构对本指标进行评价，</w:t>
      </w:r>
      <w:r>
        <w:rPr>
          <w:rFonts w:hint="eastAsia" w:ascii="仿宋" w:hAnsi="仿宋" w:eastAsia="仿宋" w:cs="仿宋"/>
          <w:b w:val="0"/>
          <w:bCs/>
          <w:kern w:val="2"/>
          <w:sz w:val="28"/>
          <w:szCs w:val="28"/>
          <w:highlight w:val="none"/>
          <w:lang w:val="en-US" w:eastAsia="zh-CN" w:bidi="ar-SA"/>
        </w:rPr>
        <w:t>我们发现，临猗中医院的老年人中医院管理率未完成年度任务；经查看档案及电话回访，各机构普通存在受益群众中医药健康管理知晓率低、体质辨识结果不准确、档案填写不规范的情况，</w:t>
      </w:r>
      <w:r>
        <w:rPr>
          <w:rFonts w:hint="default" w:ascii="仿宋" w:hAnsi="仿宋" w:eastAsia="仿宋" w:cs="仿宋"/>
          <w:b w:val="0"/>
          <w:bCs/>
          <w:kern w:val="2"/>
          <w:sz w:val="28"/>
          <w:szCs w:val="28"/>
          <w:highlight w:val="none"/>
          <w:lang w:val="en-US" w:eastAsia="zh-CN" w:bidi="ar-SA"/>
        </w:rPr>
        <w:t>经</w:t>
      </w:r>
      <w:r>
        <w:rPr>
          <w:rFonts w:hint="eastAsia" w:ascii="仿宋" w:hAnsi="仿宋" w:eastAsia="仿宋" w:cs="仿宋"/>
          <w:b w:val="0"/>
          <w:bCs/>
          <w:kern w:val="2"/>
          <w:sz w:val="28"/>
          <w:szCs w:val="28"/>
          <w:highlight w:val="none"/>
          <w:lang w:val="en-US" w:eastAsia="zh-CN" w:bidi="ar-SA"/>
        </w:rPr>
        <w:t>对各机构打分并</w:t>
      </w:r>
      <w:r>
        <w:rPr>
          <w:rFonts w:hint="default" w:ascii="仿宋" w:hAnsi="仿宋" w:eastAsia="仿宋" w:cs="仿宋"/>
          <w:b w:val="0"/>
          <w:bCs/>
          <w:kern w:val="2"/>
          <w:sz w:val="28"/>
          <w:szCs w:val="28"/>
          <w:highlight w:val="none"/>
          <w:lang w:val="en-US" w:eastAsia="zh-CN" w:bidi="ar-SA"/>
        </w:rPr>
        <w:t>加权平均计算后，本指标权重</w:t>
      </w:r>
      <w:r>
        <w:rPr>
          <w:rFonts w:hint="eastAsia" w:ascii="仿宋" w:hAnsi="仿宋" w:eastAsia="仿宋" w:cs="仿宋"/>
          <w:b w:val="0"/>
          <w:bCs/>
          <w:kern w:val="2"/>
          <w:sz w:val="28"/>
          <w:szCs w:val="28"/>
          <w:highlight w:val="none"/>
          <w:lang w:val="en-US" w:eastAsia="zh-CN" w:bidi="ar-SA"/>
        </w:rPr>
        <w:t>1</w:t>
      </w:r>
      <w:r>
        <w:rPr>
          <w:rFonts w:hint="default" w:ascii="仿宋" w:hAnsi="仿宋" w:eastAsia="仿宋" w:cs="仿宋"/>
          <w:b w:val="0"/>
          <w:bCs/>
          <w:kern w:val="2"/>
          <w:sz w:val="28"/>
          <w:szCs w:val="28"/>
          <w:highlight w:val="none"/>
          <w:lang w:val="en-US" w:eastAsia="zh-CN" w:bidi="ar-SA"/>
        </w:rPr>
        <w:t>分，得分</w:t>
      </w:r>
      <w:r>
        <w:rPr>
          <w:rFonts w:hint="eastAsia" w:ascii="仿宋" w:hAnsi="仿宋" w:eastAsia="仿宋" w:cs="仿宋"/>
          <w:b w:val="0"/>
          <w:bCs/>
          <w:kern w:val="2"/>
          <w:sz w:val="28"/>
          <w:szCs w:val="28"/>
          <w:highlight w:val="none"/>
          <w:lang w:val="en-US" w:eastAsia="zh-CN" w:bidi="ar-SA"/>
        </w:rPr>
        <w:t>0.476</w:t>
      </w:r>
      <w:r>
        <w:rPr>
          <w:rFonts w:hint="default" w:ascii="仿宋" w:hAnsi="仿宋" w:eastAsia="仿宋" w:cs="仿宋"/>
          <w:b w:val="0"/>
          <w:bCs/>
          <w:kern w:val="2"/>
          <w:sz w:val="28"/>
          <w:szCs w:val="28"/>
          <w:highlight w:val="none"/>
          <w:lang w:val="en-US" w:eastAsia="zh-CN" w:bidi="ar-SA"/>
        </w:rPr>
        <w:t>分。</w:t>
      </w:r>
      <w:bookmarkEnd w:id="22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outlineLvl w:val="0"/>
        <w:rPr>
          <w:rFonts w:hint="default" w:ascii="仿宋" w:hAnsi="仿宋" w:eastAsia="仿宋" w:cs="仿宋"/>
          <w:b/>
          <w:bCs w:val="0"/>
          <w:kern w:val="2"/>
          <w:sz w:val="28"/>
          <w:szCs w:val="28"/>
          <w:highlight w:val="none"/>
          <w:lang w:val="en-US" w:eastAsia="zh-CN" w:bidi="ar-SA"/>
        </w:rPr>
      </w:pPr>
      <w:bookmarkStart w:id="226" w:name="_Toc13309"/>
      <w:r>
        <w:rPr>
          <w:rFonts w:hint="eastAsia" w:ascii="仿宋" w:hAnsi="仿宋" w:eastAsia="仿宋" w:cs="仿宋"/>
          <w:b/>
          <w:bCs w:val="0"/>
          <w:kern w:val="2"/>
          <w:sz w:val="28"/>
          <w:szCs w:val="28"/>
          <w:highlight w:val="none"/>
          <w:lang w:val="en-US" w:eastAsia="zh-CN" w:bidi="ar-SA"/>
        </w:rPr>
        <w:t>（2）</w:t>
      </w:r>
      <w:r>
        <w:rPr>
          <w:rFonts w:hint="default" w:ascii="仿宋" w:hAnsi="仿宋" w:eastAsia="仿宋" w:cs="仿宋"/>
          <w:b/>
          <w:bCs w:val="0"/>
          <w:kern w:val="2"/>
          <w:sz w:val="28"/>
          <w:szCs w:val="28"/>
          <w:highlight w:val="none"/>
          <w:lang w:val="en-US" w:eastAsia="zh-CN" w:bidi="ar-SA"/>
        </w:rPr>
        <w:t>0-36个月儿童中医药健康管理率</w:t>
      </w:r>
      <w:bookmarkEnd w:id="22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bookmarkStart w:id="227" w:name="_Toc16160"/>
      <w:r>
        <w:rPr>
          <w:rFonts w:hint="default" w:ascii="仿宋" w:hAnsi="仿宋" w:eastAsia="仿宋" w:cs="仿宋"/>
          <w:b w:val="0"/>
          <w:bCs/>
          <w:kern w:val="2"/>
          <w:sz w:val="28"/>
          <w:szCs w:val="28"/>
          <w:highlight w:val="none"/>
          <w:lang w:val="en-US" w:eastAsia="zh-CN" w:bidi="ar-SA"/>
        </w:rPr>
        <w:t>20</w:t>
      </w:r>
      <w:r>
        <w:rPr>
          <w:rFonts w:hint="eastAsia" w:ascii="仿宋" w:hAnsi="仿宋" w:eastAsia="仿宋" w:cs="仿宋"/>
          <w:b w:val="0"/>
          <w:bCs/>
          <w:kern w:val="2"/>
          <w:sz w:val="28"/>
          <w:szCs w:val="28"/>
          <w:highlight w:val="none"/>
          <w:lang w:val="en-US" w:eastAsia="zh-CN" w:bidi="ar-SA"/>
        </w:rPr>
        <w:t>20</w:t>
      </w:r>
      <w:r>
        <w:rPr>
          <w:rFonts w:hint="default" w:ascii="仿宋" w:hAnsi="仿宋" w:eastAsia="仿宋" w:cs="仿宋"/>
          <w:b w:val="0"/>
          <w:bCs/>
          <w:kern w:val="2"/>
          <w:sz w:val="28"/>
          <w:szCs w:val="28"/>
          <w:highlight w:val="none"/>
          <w:lang w:val="en-US" w:eastAsia="zh-CN" w:bidi="ar-SA"/>
        </w:rPr>
        <w:t>年度辖区内的 0-36个月儿童</w:t>
      </w:r>
      <w:r>
        <w:rPr>
          <w:rFonts w:hint="eastAsia" w:ascii="仿宋" w:hAnsi="仿宋" w:eastAsia="仿宋" w:cs="仿宋"/>
          <w:b w:val="0"/>
          <w:bCs/>
          <w:kern w:val="2"/>
          <w:sz w:val="28"/>
          <w:szCs w:val="28"/>
          <w:highlight w:val="none"/>
          <w:lang w:val="en-US" w:eastAsia="zh-CN" w:bidi="ar-SA"/>
        </w:rPr>
        <w:t>人数</w:t>
      </w:r>
      <w:r>
        <w:rPr>
          <w:rFonts w:hint="default" w:ascii="仿宋" w:hAnsi="仿宋" w:eastAsia="仿宋" w:cs="仿宋"/>
          <w:b w:val="0"/>
          <w:bCs/>
          <w:kern w:val="2"/>
          <w:sz w:val="28"/>
          <w:szCs w:val="28"/>
          <w:highlight w:val="none"/>
          <w:lang w:val="en-US" w:eastAsia="zh-CN" w:bidi="ar-SA"/>
        </w:rPr>
        <w:t>为</w:t>
      </w:r>
      <w:r>
        <w:rPr>
          <w:rFonts w:hint="eastAsia" w:ascii="仿宋" w:hAnsi="仿宋" w:eastAsia="仿宋" w:cs="仿宋"/>
          <w:b w:val="0"/>
          <w:bCs/>
          <w:kern w:val="2"/>
          <w:sz w:val="28"/>
          <w:szCs w:val="28"/>
          <w:highlight w:val="none"/>
          <w:lang w:val="en-US" w:eastAsia="zh-CN" w:bidi="ar-SA"/>
        </w:rPr>
        <w:t>11710</w:t>
      </w:r>
      <w:r>
        <w:rPr>
          <w:rFonts w:hint="default" w:ascii="仿宋" w:hAnsi="仿宋" w:eastAsia="仿宋" w:cs="仿宋"/>
          <w:b w:val="0"/>
          <w:bCs/>
          <w:kern w:val="2"/>
          <w:sz w:val="28"/>
          <w:szCs w:val="28"/>
          <w:highlight w:val="none"/>
          <w:lang w:val="en-US" w:eastAsia="zh-CN" w:bidi="ar-SA"/>
        </w:rPr>
        <w:t>人，接受中医药健康管理服务的人数为</w:t>
      </w:r>
      <w:r>
        <w:rPr>
          <w:rFonts w:hint="eastAsia" w:ascii="仿宋" w:hAnsi="仿宋" w:eastAsia="仿宋" w:cs="仿宋"/>
          <w:b w:val="0"/>
          <w:bCs/>
          <w:kern w:val="2"/>
          <w:sz w:val="28"/>
          <w:szCs w:val="28"/>
          <w:highlight w:val="none"/>
          <w:lang w:val="en-US" w:eastAsia="zh-CN" w:bidi="ar-SA"/>
        </w:rPr>
        <w:t>9504</w:t>
      </w:r>
      <w:r>
        <w:rPr>
          <w:rFonts w:hint="default" w:ascii="仿宋" w:hAnsi="仿宋" w:eastAsia="仿宋" w:cs="仿宋"/>
          <w:b w:val="0"/>
          <w:bCs/>
          <w:kern w:val="2"/>
          <w:sz w:val="28"/>
          <w:szCs w:val="28"/>
          <w:highlight w:val="none"/>
          <w:lang w:val="en-US" w:eastAsia="zh-CN" w:bidi="ar-SA"/>
        </w:rPr>
        <w:t>人，中医药健康管理率为</w:t>
      </w:r>
      <w:r>
        <w:rPr>
          <w:rFonts w:hint="eastAsia" w:ascii="仿宋" w:hAnsi="仿宋" w:eastAsia="仿宋" w:cs="仿宋"/>
          <w:b w:val="0"/>
          <w:bCs/>
          <w:kern w:val="2"/>
          <w:sz w:val="28"/>
          <w:szCs w:val="28"/>
          <w:highlight w:val="none"/>
          <w:lang w:val="en-US" w:eastAsia="zh-CN" w:bidi="ar-SA"/>
        </w:rPr>
        <w:t>81.16</w:t>
      </w:r>
      <w:r>
        <w:rPr>
          <w:rFonts w:hint="default" w:ascii="仿宋" w:hAnsi="仿宋" w:eastAsia="仿宋" w:cs="仿宋"/>
          <w:b w:val="0"/>
          <w:bCs/>
          <w:kern w:val="2"/>
          <w:sz w:val="28"/>
          <w:szCs w:val="28"/>
          <w:highlight w:val="none"/>
          <w:lang w:val="en-US" w:eastAsia="zh-CN" w:bidi="ar-SA"/>
        </w:rPr>
        <w:t>%。</w:t>
      </w:r>
      <w:bookmarkEnd w:id="227"/>
      <w:bookmarkStart w:id="228" w:name="_Toc623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default" w:ascii="仿宋" w:hAnsi="仿宋" w:eastAsia="仿宋" w:cs="仿宋"/>
          <w:b w:val="0"/>
          <w:bCs/>
          <w:kern w:val="2"/>
          <w:sz w:val="28"/>
          <w:szCs w:val="28"/>
          <w:highlight w:val="none"/>
          <w:lang w:val="en-US" w:eastAsia="zh-CN" w:bidi="ar-SA"/>
        </w:rPr>
        <w:t>评价人员抽查了</w:t>
      </w:r>
      <w:r>
        <w:rPr>
          <w:rFonts w:hint="eastAsia" w:ascii="仿宋" w:hAnsi="仿宋" w:eastAsia="仿宋" w:cs="仿宋"/>
          <w:b w:val="0"/>
          <w:bCs/>
          <w:kern w:val="2"/>
          <w:sz w:val="28"/>
          <w:szCs w:val="28"/>
          <w:highlight w:val="none"/>
          <w:lang w:val="en-US" w:eastAsia="zh-CN" w:bidi="ar-SA"/>
        </w:rPr>
        <w:t>5家</w:t>
      </w:r>
      <w:r>
        <w:rPr>
          <w:rFonts w:hint="default" w:ascii="仿宋" w:hAnsi="仿宋" w:eastAsia="仿宋" w:cs="仿宋"/>
          <w:b w:val="0"/>
          <w:bCs/>
          <w:kern w:val="2"/>
          <w:sz w:val="28"/>
          <w:szCs w:val="28"/>
          <w:highlight w:val="none"/>
          <w:lang w:val="en-US" w:eastAsia="zh-CN" w:bidi="ar-SA"/>
        </w:rPr>
        <w:t>基层医疗卫生机构对本指标进行评价，</w:t>
      </w:r>
      <w:r>
        <w:rPr>
          <w:rFonts w:hint="eastAsia" w:ascii="仿宋" w:hAnsi="仿宋" w:eastAsia="仿宋" w:cs="仿宋"/>
          <w:b w:val="0"/>
          <w:bCs/>
          <w:kern w:val="2"/>
          <w:sz w:val="28"/>
          <w:szCs w:val="28"/>
          <w:highlight w:val="none"/>
          <w:lang w:val="en-US" w:eastAsia="zh-CN" w:bidi="ar-SA"/>
        </w:rPr>
        <w:t>我们发现各机构普遍存在对中医药管理质量不够重视的情况，临猗县中医院负责的部分城区社区未开展</w:t>
      </w:r>
      <w:r>
        <w:rPr>
          <w:rFonts w:hint="default" w:ascii="仿宋" w:hAnsi="仿宋" w:eastAsia="仿宋" w:cs="仿宋"/>
          <w:b w:val="0"/>
          <w:bCs/>
          <w:kern w:val="2"/>
          <w:sz w:val="28"/>
          <w:szCs w:val="28"/>
          <w:highlight w:val="none"/>
          <w:lang w:val="en-US" w:eastAsia="zh-CN" w:bidi="ar-SA"/>
        </w:rPr>
        <w:t>0-36个月儿童中医药健康管理</w:t>
      </w:r>
      <w:r>
        <w:rPr>
          <w:rFonts w:hint="eastAsia" w:ascii="仿宋" w:hAnsi="仿宋" w:eastAsia="仿宋" w:cs="仿宋"/>
          <w:b w:val="0"/>
          <w:bCs/>
          <w:kern w:val="2"/>
          <w:sz w:val="28"/>
          <w:szCs w:val="28"/>
          <w:highlight w:val="none"/>
          <w:lang w:val="en-US" w:eastAsia="zh-CN" w:bidi="ar-SA"/>
        </w:rPr>
        <w:t>工作；猗氏卫生院</w:t>
      </w:r>
      <w:r>
        <w:rPr>
          <w:rFonts w:hint="default" w:ascii="仿宋" w:hAnsi="仿宋" w:eastAsia="仿宋" w:cs="仿宋"/>
          <w:b w:val="0"/>
          <w:bCs/>
          <w:kern w:val="2"/>
          <w:sz w:val="28"/>
          <w:szCs w:val="28"/>
          <w:highlight w:val="none"/>
          <w:lang w:val="en-US" w:eastAsia="zh-CN" w:bidi="ar-SA"/>
        </w:rPr>
        <w:t>儿童中医药健康</w:t>
      </w:r>
      <w:r>
        <w:rPr>
          <w:rFonts w:hint="eastAsia" w:ascii="仿宋" w:hAnsi="仿宋" w:eastAsia="仿宋" w:cs="仿宋"/>
          <w:b w:val="0"/>
          <w:bCs/>
          <w:kern w:val="2"/>
          <w:sz w:val="28"/>
          <w:szCs w:val="28"/>
          <w:highlight w:val="none"/>
          <w:lang w:val="en-US" w:eastAsia="zh-CN" w:bidi="ar-SA"/>
        </w:rPr>
        <w:t>管理未完成计划数量；各机构儿童中医药管理均未能完全按照规范要求进行，</w:t>
      </w:r>
      <w:r>
        <w:rPr>
          <w:rFonts w:hint="default" w:ascii="仿宋" w:hAnsi="仿宋" w:eastAsia="仿宋" w:cs="仿宋"/>
          <w:b w:val="0"/>
          <w:bCs/>
          <w:kern w:val="2"/>
          <w:sz w:val="28"/>
          <w:szCs w:val="28"/>
          <w:highlight w:val="none"/>
          <w:lang w:val="en-US" w:eastAsia="zh-CN" w:bidi="ar-SA"/>
        </w:rPr>
        <w:t>经</w:t>
      </w:r>
      <w:r>
        <w:rPr>
          <w:rFonts w:hint="eastAsia" w:ascii="仿宋" w:hAnsi="仿宋" w:eastAsia="仿宋" w:cs="仿宋"/>
          <w:b w:val="0"/>
          <w:bCs/>
          <w:kern w:val="2"/>
          <w:sz w:val="28"/>
          <w:szCs w:val="28"/>
          <w:highlight w:val="none"/>
          <w:lang w:val="en-US" w:eastAsia="zh-CN" w:bidi="ar-SA"/>
        </w:rPr>
        <w:t>对各机构打分并</w:t>
      </w:r>
      <w:r>
        <w:rPr>
          <w:rFonts w:hint="default" w:ascii="仿宋" w:hAnsi="仿宋" w:eastAsia="仿宋" w:cs="仿宋"/>
          <w:b w:val="0"/>
          <w:bCs/>
          <w:kern w:val="2"/>
          <w:sz w:val="28"/>
          <w:szCs w:val="28"/>
          <w:highlight w:val="none"/>
          <w:lang w:val="en-US" w:eastAsia="zh-CN" w:bidi="ar-SA"/>
        </w:rPr>
        <w:t>加权平均计算后，本指标权重</w:t>
      </w:r>
      <w:r>
        <w:rPr>
          <w:rFonts w:hint="eastAsia" w:ascii="仿宋" w:hAnsi="仿宋" w:eastAsia="仿宋" w:cs="仿宋"/>
          <w:b w:val="0"/>
          <w:bCs/>
          <w:kern w:val="2"/>
          <w:sz w:val="28"/>
          <w:szCs w:val="28"/>
          <w:highlight w:val="none"/>
          <w:lang w:val="en-US" w:eastAsia="zh-CN" w:bidi="ar-SA"/>
        </w:rPr>
        <w:t>1</w:t>
      </w:r>
      <w:r>
        <w:rPr>
          <w:rFonts w:hint="default" w:ascii="仿宋" w:hAnsi="仿宋" w:eastAsia="仿宋" w:cs="仿宋"/>
          <w:b w:val="0"/>
          <w:bCs/>
          <w:kern w:val="2"/>
          <w:sz w:val="28"/>
          <w:szCs w:val="28"/>
          <w:highlight w:val="none"/>
          <w:lang w:val="en-US" w:eastAsia="zh-CN" w:bidi="ar-SA"/>
        </w:rPr>
        <w:t>分，得分</w:t>
      </w:r>
      <w:r>
        <w:rPr>
          <w:rFonts w:hint="eastAsia" w:ascii="仿宋" w:hAnsi="仿宋" w:eastAsia="仿宋" w:cs="仿宋"/>
          <w:b w:val="0"/>
          <w:bCs/>
          <w:kern w:val="2"/>
          <w:sz w:val="28"/>
          <w:szCs w:val="28"/>
          <w:highlight w:val="none"/>
          <w:lang w:val="en-US" w:eastAsia="zh-CN" w:bidi="ar-SA"/>
        </w:rPr>
        <w:t>0.33</w:t>
      </w:r>
      <w:r>
        <w:rPr>
          <w:rFonts w:hint="default" w:ascii="仿宋" w:hAnsi="仿宋" w:eastAsia="仿宋" w:cs="仿宋"/>
          <w:b w:val="0"/>
          <w:bCs/>
          <w:kern w:val="2"/>
          <w:sz w:val="28"/>
          <w:szCs w:val="28"/>
          <w:highlight w:val="none"/>
          <w:lang w:val="en-US" w:eastAsia="zh-CN" w:bidi="ar-SA"/>
        </w:rPr>
        <w:t>分。</w:t>
      </w:r>
      <w:bookmarkEnd w:id="22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bookmarkStart w:id="229" w:name="_Toc10051"/>
      <w:r>
        <w:rPr>
          <w:rFonts w:hint="eastAsia" w:ascii="仿宋" w:hAnsi="仿宋" w:eastAsia="仿宋" w:cs="仿宋"/>
          <w:b/>
          <w:bCs w:val="0"/>
          <w:kern w:val="2"/>
          <w:sz w:val="28"/>
          <w:szCs w:val="28"/>
          <w:highlight w:val="none"/>
          <w:lang w:val="en-US" w:eastAsia="zh-CN" w:bidi="ar-SA"/>
        </w:rPr>
        <w:t>11.</w:t>
      </w:r>
      <w:r>
        <w:rPr>
          <w:rFonts w:hint="default" w:ascii="仿宋" w:hAnsi="仿宋" w:eastAsia="仿宋" w:cs="仿宋"/>
          <w:b/>
          <w:bCs w:val="0"/>
          <w:kern w:val="2"/>
          <w:sz w:val="28"/>
          <w:szCs w:val="28"/>
          <w:highlight w:val="none"/>
          <w:lang w:val="en-US" w:eastAsia="zh-CN" w:bidi="ar-SA"/>
        </w:rPr>
        <w:t>传染病和突发公共卫生事件报告和处理</w:t>
      </w:r>
      <w:r>
        <w:rPr>
          <w:rFonts w:hint="default" w:ascii="仿宋" w:hAnsi="仿宋" w:eastAsia="仿宋" w:cs="仿宋"/>
          <w:b/>
          <w:bCs w:val="0"/>
          <w:kern w:val="2"/>
          <w:sz w:val="28"/>
          <w:szCs w:val="28"/>
          <w:highlight w:val="none"/>
          <w:lang w:val="en-US" w:eastAsia="zh-CN" w:bidi="ar-SA"/>
        </w:rPr>
        <w:tab/>
      </w:r>
      <w:r>
        <w:rPr>
          <w:rFonts w:hint="eastAsia" w:ascii="仿宋" w:hAnsi="仿宋" w:eastAsia="仿宋" w:cs="仿宋"/>
          <w:b/>
          <w:bCs w:val="0"/>
          <w:kern w:val="2"/>
          <w:sz w:val="28"/>
          <w:szCs w:val="28"/>
          <w:highlight w:val="none"/>
          <w:lang w:val="en-US" w:eastAsia="zh-CN" w:bidi="ar-SA"/>
        </w:rPr>
        <w:t>,权重2分，得分2分</w:t>
      </w:r>
      <w:bookmarkEnd w:id="22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230" w:name="_Toc19324"/>
      <w:r>
        <w:rPr>
          <w:rFonts w:hint="eastAsia" w:ascii="仿宋" w:hAnsi="仿宋" w:eastAsia="仿宋" w:cs="仿宋"/>
          <w:b w:val="0"/>
          <w:bCs/>
          <w:kern w:val="2"/>
          <w:sz w:val="28"/>
          <w:szCs w:val="28"/>
          <w:highlight w:val="none"/>
          <w:lang w:val="en-US" w:eastAsia="zh-CN" w:bidi="ar-SA"/>
        </w:rPr>
        <w:t>2020年度辖区内登记的</w:t>
      </w:r>
      <w:r>
        <w:rPr>
          <w:rFonts w:hint="default" w:ascii="仿宋" w:hAnsi="仿宋" w:eastAsia="仿宋" w:cs="仿宋"/>
          <w:b w:val="0"/>
          <w:bCs/>
          <w:kern w:val="2"/>
          <w:sz w:val="28"/>
          <w:szCs w:val="28"/>
          <w:highlight w:val="none"/>
          <w:lang w:val="en-US" w:eastAsia="zh-CN" w:bidi="ar-SA"/>
        </w:rPr>
        <w:t>传染病事件</w:t>
      </w:r>
      <w:r>
        <w:rPr>
          <w:rFonts w:hint="eastAsia" w:ascii="仿宋" w:hAnsi="仿宋" w:eastAsia="仿宋" w:cs="仿宋"/>
          <w:b w:val="0"/>
          <w:bCs/>
          <w:kern w:val="2"/>
          <w:sz w:val="28"/>
          <w:szCs w:val="28"/>
          <w:highlight w:val="none"/>
          <w:lang w:val="en-US" w:eastAsia="zh-CN" w:bidi="ar-SA"/>
        </w:rPr>
        <w:t>2728例，网络申报2728例，报告及时率100%；2020年度辖区报告突发公共卫生事件11起，均已及时报告，突发公共卫生事件报告率100%。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default" w:ascii="仿宋" w:hAnsi="仿宋" w:eastAsia="仿宋" w:cs="仿宋"/>
          <w:b w:val="0"/>
          <w:bCs/>
          <w:kern w:val="2"/>
          <w:sz w:val="28"/>
          <w:szCs w:val="28"/>
          <w:highlight w:val="none"/>
          <w:lang w:val="en-US" w:eastAsia="zh-CN" w:bidi="ar-SA"/>
        </w:rPr>
        <w:t>评价人员抽查了</w:t>
      </w:r>
      <w:r>
        <w:rPr>
          <w:rFonts w:hint="eastAsia" w:ascii="仿宋" w:hAnsi="仿宋" w:eastAsia="仿宋" w:cs="仿宋"/>
          <w:b w:val="0"/>
          <w:bCs/>
          <w:kern w:val="2"/>
          <w:sz w:val="28"/>
          <w:szCs w:val="28"/>
          <w:highlight w:val="none"/>
          <w:lang w:val="en-US" w:eastAsia="zh-CN" w:bidi="ar-SA"/>
        </w:rPr>
        <w:t>5家</w:t>
      </w:r>
      <w:r>
        <w:rPr>
          <w:rFonts w:hint="default" w:ascii="仿宋" w:hAnsi="仿宋" w:eastAsia="仿宋" w:cs="仿宋"/>
          <w:b w:val="0"/>
          <w:bCs/>
          <w:kern w:val="2"/>
          <w:sz w:val="28"/>
          <w:szCs w:val="28"/>
          <w:highlight w:val="none"/>
          <w:lang w:val="en-US" w:eastAsia="zh-CN" w:bidi="ar-SA"/>
        </w:rPr>
        <w:t>基层医疗卫生机构对本指标进行评价，经加权平均计算后本指标权重</w:t>
      </w:r>
      <w:r>
        <w:rPr>
          <w:rFonts w:hint="eastAsia" w:ascii="仿宋" w:hAnsi="仿宋" w:eastAsia="仿宋" w:cs="仿宋"/>
          <w:b w:val="0"/>
          <w:bCs/>
          <w:kern w:val="2"/>
          <w:sz w:val="28"/>
          <w:szCs w:val="28"/>
          <w:highlight w:val="none"/>
          <w:lang w:val="en-US" w:eastAsia="zh-CN" w:bidi="ar-SA"/>
        </w:rPr>
        <w:t>2</w:t>
      </w:r>
      <w:r>
        <w:rPr>
          <w:rFonts w:hint="default" w:ascii="仿宋" w:hAnsi="仿宋" w:eastAsia="仿宋" w:cs="仿宋"/>
          <w:b w:val="0"/>
          <w:bCs/>
          <w:kern w:val="2"/>
          <w:sz w:val="28"/>
          <w:szCs w:val="28"/>
          <w:highlight w:val="none"/>
          <w:lang w:val="en-US" w:eastAsia="zh-CN" w:bidi="ar-SA"/>
        </w:rPr>
        <w:t>分，得分</w:t>
      </w:r>
      <w:r>
        <w:rPr>
          <w:rFonts w:hint="eastAsia" w:ascii="仿宋" w:hAnsi="仿宋" w:eastAsia="仿宋" w:cs="仿宋"/>
          <w:b w:val="0"/>
          <w:bCs/>
          <w:kern w:val="2"/>
          <w:sz w:val="28"/>
          <w:szCs w:val="28"/>
          <w:highlight w:val="none"/>
          <w:lang w:val="en-US" w:eastAsia="zh-CN" w:bidi="ar-SA"/>
        </w:rPr>
        <w:t>2</w:t>
      </w:r>
      <w:r>
        <w:rPr>
          <w:rFonts w:hint="default" w:ascii="仿宋" w:hAnsi="仿宋" w:eastAsia="仿宋" w:cs="仿宋"/>
          <w:b w:val="0"/>
          <w:bCs/>
          <w:kern w:val="2"/>
          <w:sz w:val="28"/>
          <w:szCs w:val="28"/>
          <w:highlight w:val="none"/>
          <w:lang w:val="en-US" w:eastAsia="zh-CN" w:bidi="ar-SA"/>
        </w:rPr>
        <w:t>分。</w:t>
      </w:r>
      <w:bookmarkEnd w:id="23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bookmarkStart w:id="231" w:name="_Toc18883"/>
      <w:r>
        <w:rPr>
          <w:rFonts w:hint="eastAsia" w:ascii="仿宋" w:hAnsi="仿宋" w:eastAsia="仿宋" w:cs="仿宋"/>
          <w:b/>
          <w:bCs w:val="0"/>
          <w:kern w:val="2"/>
          <w:sz w:val="28"/>
          <w:szCs w:val="28"/>
          <w:highlight w:val="none"/>
          <w:lang w:val="en-US" w:eastAsia="zh-CN" w:bidi="ar-SA"/>
        </w:rPr>
        <w:t>12.</w:t>
      </w:r>
      <w:r>
        <w:rPr>
          <w:rFonts w:hint="default" w:ascii="仿宋" w:hAnsi="仿宋" w:eastAsia="仿宋" w:cs="仿宋"/>
          <w:b/>
          <w:bCs w:val="0"/>
          <w:kern w:val="2"/>
          <w:sz w:val="28"/>
          <w:szCs w:val="28"/>
          <w:highlight w:val="none"/>
          <w:lang w:val="en-US" w:eastAsia="zh-CN" w:bidi="ar-SA"/>
        </w:rPr>
        <w:t>卫生计生监督协管</w:t>
      </w:r>
      <w:r>
        <w:rPr>
          <w:rFonts w:hint="default" w:ascii="仿宋" w:hAnsi="仿宋" w:eastAsia="仿宋" w:cs="仿宋"/>
          <w:b/>
          <w:bCs w:val="0"/>
          <w:kern w:val="2"/>
          <w:sz w:val="28"/>
          <w:szCs w:val="28"/>
          <w:highlight w:val="none"/>
          <w:lang w:val="en-US" w:eastAsia="zh-CN" w:bidi="ar-SA"/>
        </w:rPr>
        <w:tab/>
      </w:r>
      <w:r>
        <w:rPr>
          <w:rFonts w:hint="eastAsia" w:ascii="仿宋" w:hAnsi="仿宋" w:eastAsia="仿宋" w:cs="仿宋"/>
          <w:b/>
          <w:bCs w:val="0"/>
          <w:kern w:val="2"/>
          <w:sz w:val="28"/>
          <w:szCs w:val="28"/>
          <w:highlight w:val="none"/>
          <w:lang w:val="en-US" w:eastAsia="zh-CN" w:bidi="ar-SA"/>
        </w:rPr>
        <w:t>，权重1分，得分0.7分</w:t>
      </w:r>
      <w:bookmarkEnd w:id="23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232" w:name="_Toc13380"/>
      <w:r>
        <w:rPr>
          <w:rFonts w:hint="eastAsia" w:ascii="仿宋" w:hAnsi="仿宋" w:eastAsia="仿宋" w:cs="仿宋"/>
          <w:b w:val="0"/>
          <w:bCs/>
          <w:kern w:val="2"/>
          <w:sz w:val="28"/>
          <w:szCs w:val="28"/>
          <w:highlight w:val="none"/>
          <w:lang w:val="en-US" w:eastAsia="zh-CN" w:bidi="ar-SA"/>
        </w:rPr>
        <w:t>该项目主要由临猗县卫生监督所实施和督导，具体执行机构为该单位综合一股、综合二股、各乡镇卫生院和村卫生室，现场评价时，我们抽查了监督所相关股室和卫生院2020年的监督协管档案，覆盖了公共场所、生活饮用水、学校卫生、医疗卫生、餐饮具消毒、传染病防治等方面，档案清晰、督管内容明确；2020年全县乡镇卫生监督协管共摸底879户，其中：医疗453户，学校155户，计划生育相关单位18户，生活饮用水187户，职业病风险单位66户；全年共巡查3516户次，其中医疗1812户次，学校620户次，计划生育相关单位72户次，生活饮用水748户次，职业病风险单位264户次，全部完成每年不少于4次的监督频次，经常性卫生巡查覆盖率达到100%。</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 xml:space="preserve">    2020年各乡镇食源性疾病、食品污染等危害线索或事件已按时上报，但卫生监督部门未对其进行核查和统计，本次评价我们无法得出全县2020年的卫生监督协管信息报告情况。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本指标权重1分，依据评分标准，扣去0.3分，得分0.7分。</w:t>
      </w:r>
      <w:bookmarkEnd w:id="23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val="0"/>
          <w:kern w:val="2"/>
          <w:sz w:val="28"/>
          <w:szCs w:val="28"/>
          <w:highlight w:val="none"/>
          <w:lang w:val="en-US" w:eastAsia="zh-CN" w:bidi="ar-SA"/>
        </w:rPr>
      </w:pPr>
      <w:bookmarkStart w:id="233" w:name="_Toc4660"/>
      <w:r>
        <w:rPr>
          <w:rFonts w:hint="eastAsia" w:ascii="仿宋" w:hAnsi="仿宋" w:eastAsia="仿宋" w:cs="仿宋"/>
          <w:b/>
          <w:bCs w:val="0"/>
          <w:kern w:val="2"/>
          <w:sz w:val="28"/>
          <w:szCs w:val="28"/>
          <w:highlight w:val="none"/>
          <w:lang w:val="en-US" w:eastAsia="zh-CN" w:bidi="ar-SA"/>
        </w:rPr>
        <w:t>13.基本避</w:t>
      </w:r>
      <w:r>
        <w:rPr>
          <w:rFonts w:hint="default" w:ascii="仿宋" w:hAnsi="仿宋" w:eastAsia="仿宋" w:cs="仿宋"/>
          <w:b/>
          <w:bCs w:val="0"/>
          <w:kern w:val="2"/>
          <w:sz w:val="28"/>
          <w:szCs w:val="28"/>
          <w:highlight w:val="none"/>
          <w:lang w:val="en-US" w:eastAsia="zh-CN" w:bidi="ar-SA"/>
        </w:rPr>
        <w:t>孕</w:t>
      </w:r>
      <w:r>
        <w:rPr>
          <w:rFonts w:hint="eastAsia" w:ascii="仿宋" w:hAnsi="仿宋" w:eastAsia="仿宋" w:cs="仿宋"/>
          <w:b/>
          <w:bCs w:val="0"/>
          <w:kern w:val="2"/>
          <w:sz w:val="28"/>
          <w:szCs w:val="28"/>
          <w:highlight w:val="none"/>
          <w:lang w:val="en-US" w:eastAsia="zh-CN" w:bidi="ar-SA"/>
        </w:rPr>
        <w:t>服务，权重1分，得分0.765分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 xml:space="preserve">    基本避孕服务从免费提供基本避孕药具和免费基本避孕手术两方面进行评价，具体如下：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default" w:ascii="仿宋" w:hAnsi="仿宋" w:eastAsia="仿宋" w:cs="仿宋"/>
          <w:b w:val="0"/>
          <w:bCs/>
          <w:kern w:val="2"/>
          <w:sz w:val="28"/>
          <w:szCs w:val="28"/>
          <w:highlight w:val="none"/>
          <w:lang w:val="en-US" w:eastAsia="zh-CN" w:bidi="ar-SA"/>
        </w:rPr>
        <w:t>①</w:t>
      </w:r>
      <w:r>
        <w:rPr>
          <w:rFonts w:hint="default" w:ascii="仿宋" w:hAnsi="仿宋" w:eastAsia="仿宋" w:cs="仿宋"/>
          <w:b/>
          <w:bCs w:val="0"/>
          <w:kern w:val="2"/>
          <w:sz w:val="28"/>
          <w:szCs w:val="28"/>
          <w:highlight w:val="none"/>
          <w:lang w:val="en-US" w:eastAsia="zh-CN" w:bidi="ar-SA"/>
        </w:rPr>
        <w:t>免费提供</w:t>
      </w:r>
      <w:r>
        <w:rPr>
          <w:rFonts w:hint="eastAsia" w:ascii="仿宋" w:hAnsi="仿宋" w:eastAsia="仿宋" w:cs="仿宋"/>
          <w:b/>
          <w:bCs w:val="0"/>
          <w:kern w:val="2"/>
          <w:sz w:val="28"/>
          <w:szCs w:val="28"/>
          <w:highlight w:val="none"/>
          <w:lang w:val="en-US" w:eastAsia="zh-CN" w:bidi="ar-SA"/>
        </w:rPr>
        <w:t>基本</w:t>
      </w:r>
      <w:r>
        <w:rPr>
          <w:rFonts w:hint="default" w:ascii="仿宋" w:hAnsi="仿宋" w:eastAsia="仿宋" w:cs="仿宋"/>
          <w:b/>
          <w:bCs w:val="0"/>
          <w:kern w:val="2"/>
          <w:sz w:val="28"/>
          <w:szCs w:val="28"/>
          <w:highlight w:val="none"/>
          <w:lang w:val="en-US" w:eastAsia="zh-CN" w:bidi="ar-SA"/>
        </w:rPr>
        <w:t>避孕药具</w:t>
      </w:r>
      <w:r>
        <w:rPr>
          <w:rFonts w:hint="default" w:ascii="仿宋" w:hAnsi="仿宋" w:eastAsia="仿宋" w:cs="仿宋"/>
          <w:b/>
          <w:bCs w:val="0"/>
          <w:kern w:val="2"/>
          <w:sz w:val="28"/>
          <w:szCs w:val="28"/>
          <w:highlight w:val="none"/>
          <w:lang w:val="en-US" w:eastAsia="zh-CN" w:bidi="ar-SA"/>
        </w:rPr>
        <w:tab/>
      </w:r>
      <w:r>
        <w:rPr>
          <w:rFonts w:hint="eastAsia" w:ascii="仿宋" w:hAnsi="仿宋" w:eastAsia="仿宋" w:cs="仿宋"/>
          <w:b/>
          <w:bCs w:val="0"/>
          <w:kern w:val="2"/>
          <w:sz w:val="28"/>
          <w:szCs w:val="28"/>
          <w:highlight w:val="none"/>
          <w:lang w:val="en-US" w:eastAsia="zh-CN" w:bidi="ar-SA"/>
        </w:rPr>
        <w:t>，权重0.3分，得分0.265分</w:t>
      </w:r>
      <w:bookmarkEnd w:id="233"/>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outlineLvl w:val="0"/>
        <w:rPr>
          <w:rFonts w:hint="default" w:ascii="仿宋" w:hAnsi="仿宋" w:eastAsia="仿宋" w:cs="仿宋"/>
          <w:b w:val="0"/>
          <w:bCs/>
          <w:kern w:val="2"/>
          <w:sz w:val="28"/>
          <w:szCs w:val="28"/>
          <w:highlight w:val="none"/>
          <w:lang w:val="en-US" w:eastAsia="zh-CN" w:bidi="ar-SA"/>
        </w:rPr>
      </w:pPr>
      <w:bookmarkStart w:id="234" w:name="_Toc30652"/>
      <w:r>
        <w:rPr>
          <w:rFonts w:hint="eastAsia" w:ascii="仿宋" w:hAnsi="仿宋" w:eastAsia="仿宋" w:cs="仿宋"/>
          <w:b w:val="0"/>
          <w:bCs/>
          <w:kern w:val="2"/>
          <w:sz w:val="28"/>
          <w:szCs w:val="28"/>
          <w:highlight w:val="none"/>
          <w:lang w:val="en-US" w:eastAsia="zh-CN" w:bidi="ar-SA"/>
        </w:rPr>
        <w:t>全县免费</w:t>
      </w:r>
      <w:r>
        <w:rPr>
          <w:rFonts w:hint="default" w:ascii="仿宋" w:hAnsi="仿宋" w:eastAsia="仿宋" w:cs="仿宋"/>
          <w:b w:val="0"/>
          <w:bCs/>
          <w:kern w:val="2"/>
          <w:sz w:val="28"/>
          <w:szCs w:val="28"/>
          <w:highlight w:val="none"/>
          <w:lang w:val="en-US" w:eastAsia="zh-CN" w:bidi="ar-SA"/>
        </w:rPr>
        <w:t>避孕药具</w:t>
      </w:r>
      <w:r>
        <w:rPr>
          <w:rFonts w:hint="eastAsia" w:ascii="仿宋" w:hAnsi="仿宋" w:eastAsia="仿宋" w:cs="仿宋"/>
          <w:b w:val="0"/>
          <w:bCs/>
          <w:kern w:val="2"/>
          <w:sz w:val="28"/>
          <w:szCs w:val="28"/>
          <w:highlight w:val="none"/>
          <w:lang w:val="en-US" w:eastAsia="zh-CN" w:bidi="ar-SA"/>
        </w:rPr>
        <w:t>均通过“</w:t>
      </w:r>
      <w:r>
        <w:rPr>
          <w:rFonts w:hint="default" w:ascii="仿宋" w:hAnsi="仿宋" w:eastAsia="仿宋" w:cs="仿宋"/>
          <w:b w:val="0"/>
          <w:bCs/>
          <w:kern w:val="2"/>
          <w:sz w:val="28"/>
          <w:szCs w:val="28"/>
          <w:highlight w:val="none"/>
          <w:lang w:val="en-US" w:eastAsia="zh-CN" w:bidi="ar-SA"/>
        </w:rPr>
        <w:t>免费提供避孕药具</w:t>
      </w:r>
      <w:r>
        <w:rPr>
          <w:rFonts w:hint="eastAsia" w:ascii="仿宋" w:hAnsi="仿宋" w:eastAsia="仿宋" w:cs="仿宋"/>
          <w:b w:val="0"/>
          <w:bCs/>
          <w:kern w:val="2"/>
          <w:sz w:val="28"/>
          <w:szCs w:val="28"/>
          <w:highlight w:val="none"/>
          <w:lang w:val="en-US" w:eastAsia="zh-CN" w:bidi="ar-SA"/>
        </w:rPr>
        <w:t>服务管理业务及息系统”进行调入调出库的管理，该系统只有药具数量的管理，未涉及药具领用人次的统计，也未统计</w:t>
      </w:r>
      <w:r>
        <w:rPr>
          <w:rFonts w:hint="default" w:ascii="仿宋" w:hAnsi="仿宋" w:eastAsia="仿宋" w:cs="仿宋"/>
          <w:b w:val="0"/>
          <w:bCs/>
          <w:kern w:val="2"/>
          <w:sz w:val="28"/>
          <w:szCs w:val="28"/>
          <w:highlight w:val="none"/>
          <w:lang w:val="en-US" w:eastAsia="zh-CN" w:bidi="ar-SA"/>
        </w:rPr>
        <w:t>避孕药具</w:t>
      </w:r>
      <w:r>
        <w:rPr>
          <w:rFonts w:hint="eastAsia" w:ascii="仿宋" w:hAnsi="仿宋" w:eastAsia="仿宋" w:cs="仿宋"/>
          <w:b w:val="0"/>
          <w:bCs/>
          <w:kern w:val="2"/>
          <w:sz w:val="28"/>
          <w:szCs w:val="28"/>
          <w:highlight w:val="none"/>
          <w:lang w:val="en-US" w:eastAsia="zh-CN" w:bidi="ar-SA"/>
        </w:rPr>
        <w:t>发放覆盖率，对避孕药具免费提供后产生的效果未进行随访和调查。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default" w:ascii="仿宋" w:hAnsi="仿宋" w:eastAsia="仿宋" w:cs="仿宋"/>
          <w:b w:val="0"/>
          <w:bCs/>
          <w:kern w:val="2"/>
          <w:sz w:val="28"/>
          <w:szCs w:val="28"/>
          <w:highlight w:val="none"/>
          <w:lang w:val="en-US" w:eastAsia="zh-CN" w:bidi="ar-SA"/>
        </w:rPr>
        <w:t>避孕药具</w:t>
      </w:r>
      <w:r>
        <w:rPr>
          <w:rFonts w:hint="eastAsia" w:ascii="仿宋" w:hAnsi="仿宋" w:eastAsia="仿宋" w:cs="仿宋"/>
          <w:b w:val="0"/>
          <w:bCs/>
          <w:kern w:val="2"/>
          <w:sz w:val="28"/>
          <w:szCs w:val="28"/>
          <w:highlight w:val="none"/>
          <w:lang w:val="en-US" w:eastAsia="zh-CN" w:bidi="ar-SA"/>
        </w:rPr>
        <w:t>主要通过免费发放机器、计生宣传活动、村级卫生室发放三种方式进行发放，根据抽查的5家</w:t>
      </w:r>
      <w:r>
        <w:rPr>
          <w:rFonts w:hint="default" w:ascii="仿宋" w:hAnsi="仿宋" w:eastAsia="仿宋" w:cs="仿宋"/>
          <w:b w:val="0"/>
          <w:bCs/>
          <w:kern w:val="2"/>
          <w:sz w:val="28"/>
          <w:szCs w:val="28"/>
          <w:highlight w:val="none"/>
          <w:lang w:val="en-US" w:eastAsia="zh-CN" w:bidi="ar-SA"/>
        </w:rPr>
        <w:t>基层医疗卫生机构</w:t>
      </w:r>
      <w:r>
        <w:rPr>
          <w:rFonts w:hint="eastAsia" w:ascii="仿宋" w:hAnsi="仿宋" w:eastAsia="仿宋" w:cs="仿宋"/>
          <w:b w:val="0"/>
          <w:bCs/>
          <w:kern w:val="2"/>
          <w:sz w:val="28"/>
          <w:szCs w:val="28"/>
          <w:highlight w:val="none"/>
          <w:lang w:val="en-US" w:eastAsia="zh-CN" w:bidi="ar-SA"/>
        </w:rPr>
        <w:t>和临猗县幼保健院的情况，各基层医疗机构和计划生育服务中心已建立比较完整的接收、存储、发放制度体系，但经过对村级卫生室 实际抽查，部分村级卫生室的</w:t>
      </w:r>
      <w:r>
        <w:rPr>
          <w:rFonts w:hint="default" w:ascii="仿宋" w:hAnsi="仿宋" w:eastAsia="仿宋" w:cs="仿宋"/>
          <w:b w:val="0"/>
          <w:bCs/>
          <w:kern w:val="2"/>
          <w:sz w:val="28"/>
          <w:szCs w:val="28"/>
          <w:highlight w:val="none"/>
          <w:lang w:val="en-US" w:eastAsia="zh-CN" w:bidi="ar-SA"/>
        </w:rPr>
        <w:t>避孕药具</w:t>
      </w:r>
      <w:r>
        <w:rPr>
          <w:rFonts w:hint="eastAsia" w:ascii="仿宋" w:hAnsi="仿宋" w:eastAsia="仿宋" w:cs="仿宋"/>
          <w:b w:val="0"/>
          <w:bCs/>
          <w:kern w:val="2"/>
          <w:sz w:val="28"/>
          <w:szCs w:val="28"/>
          <w:highlight w:val="none"/>
          <w:lang w:val="en-US" w:eastAsia="zh-CN" w:bidi="ar-SA"/>
        </w:rPr>
        <w:t>存在发放记录不完整情况。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评价人员抽查的5家基层医疗卫生机构进行评价，经加权平均计算后，本指标权重0.3分，得分0.265分。</w:t>
      </w:r>
      <w:bookmarkEnd w:id="234"/>
    </w:p>
    <w:p>
      <w:pPr>
        <w:pStyle w:val="2"/>
        <w:keepNext w:val="0"/>
        <w:keepLines w:val="0"/>
        <w:pageBreakBefore w:val="0"/>
        <w:widowControl w:val="0"/>
        <w:kinsoku/>
        <w:wordWrap/>
        <w:overflowPunct/>
        <w:topLinePunct w:val="0"/>
        <w:autoSpaceDE/>
        <w:autoSpaceDN/>
        <w:bidi w:val="0"/>
        <w:adjustRightInd/>
        <w:snapToGrid/>
        <w:spacing w:after="0" w:line="240" w:lineRule="auto"/>
        <w:ind w:firstLine="561"/>
        <w:textAlignment w:val="auto"/>
        <w:rPr>
          <w:rFonts w:hint="eastAsia" w:ascii="仿宋" w:hAnsi="仿宋" w:eastAsia="仿宋" w:cs="仿宋"/>
          <w:b/>
          <w:bCs w:val="0"/>
          <w:kern w:val="2"/>
          <w:sz w:val="28"/>
          <w:szCs w:val="28"/>
          <w:highlight w:val="none"/>
          <w:lang w:val="en-US" w:eastAsia="zh-CN" w:bidi="ar-SA"/>
        </w:rPr>
      </w:pPr>
      <w:r>
        <w:rPr>
          <w:rFonts w:hint="default" w:ascii="仿宋" w:hAnsi="仿宋" w:eastAsia="仿宋" w:cs="仿宋"/>
          <w:b w:val="0"/>
          <w:bCs/>
          <w:kern w:val="2"/>
          <w:sz w:val="28"/>
          <w:szCs w:val="28"/>
          <w:highlight w:val="none"/>
          <w:lang w:val="en-US" w:eastAsia="zh-CN" w:bidi="ar-SA"/>
        </w:rPr>
        <w:t>②</w:t>
      </w:r>
      <w:r>
        <w:rPr>
          <w:rFonts w:hint="eastAsia" w:ascii="仿宋" w:hAnsi="仿宋" w:eastAsia="仿宋" w:cs="仿宋"/>
          <w:b/>
          <w:bCs w:val="0"/>
          <w:kern w:val="2"/>
          <w:sz w:val="28"/>
          <w:szCs w:val="28"/>
          <w:highlight w:val="none"/>
          <w:lang w:val="en-US" w:eastAsia="zh-CN" w:bidi="ar-SA"/>
        </w:rPr>
        <w:t>免费基本避孕手术，权重0.7分，得分0.5分</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561"/>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2020年由临猗县妇幼保健院主导实施的免费计划生育技术服务共完成查环查孕17428人次、免费上环401人、免费取环312人、免费放置皮下埋植剂1人、人流85人、药流75人。</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561"/>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2020年该工作查环查孕人数较多，但享受免费基本避孕手术服务的人较少，基本避孕手术服务率未能达到</w:t>
      </w:r>
      <w:r>
        <w:rPr>
          <w:rFonts w:hint="default" w:ascii="仿宋" w:hAnsi="仿宋" w:eastAsia="仿宋" w:cs="仿宋"/>
          <w:b w:val="0"/>
          <w:bCs/>
          <w:kern w:val="2"/>
          <w:sz w:val="28"/>
          <w:szCs w:val="28"/>
          <w:highlight w:val="none"/>
          <w:lang w:val="en-US" w:eastAsia="zh-CN" w:bidi="ar-SA"/>
        </w:rPr>
        <w:t>≥60%</w:t>
      </w:r>
      <w:r>
        <w:rPr>
          <w:rFonts w:hint="eastAsia" w:ascii="仿宋" w:hAnsi="仿宋" w:eastAsia="仿宋" w:cs="仿宋"/>
          <w:b w:val="0"/>
          <w:bCs/>
          <w:kern w:val="2"/>
          <w:sz w:val="28"/>
          <w:szCs w:val="28"/>
          <w:highlight w:val="none"/>
          <w:lang w:val="en-US" w:eastAsia="zh-CN" w:bidi="ar-SA"/>
        </w:rPr>
        <w:t>的目标，主要原因是免费节育器材质量和基层医疗机构的服务技术低于服务对象的期望。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本指标权重0.7分，得分0.5分。</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561"/>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基本避</w:t>
      </w:r>
      <w:r>
        <w:rPr>
          <w:rFonts w:hint="default" w:ascii="仿宋" w:hAnsi="仿宋" w:eastAsia="仿宋" w:cs="仿宋"/>
          <w:b/>
          <w:bCs w:val="0"/>
          <w:kern w:val="2"/>
          <w:sz w:val="28"/>
          <w:szCs w:val="28"/>
          <w:highlight w:val="none"/>
          <w:lang w:val="en-US" w:eastAsia="zh-CN" w:bidi="ar-SA"/>
        </w:rPr>
        <w:t>孕</w:t>
      </w:r>
      <w:r>
        <w:rPr>
          <w:rFonts w:hint="eastAsia" w:ascii="仿宋" w:hAnsi="仿宋" w:eastAsia="仿宋" w:cs="仿宋"/>
          <w:b/>
          <w:bCs w:val="0"/>
          <w:kern w:val="2"/>
          <w:sz w:val="28"/>
          <w:szCs w:val="28"/>
          <w:highlight w:val="none"/>
          <w:lang w:val="en-US" w:eastAsia="zh-CN" w:bidi="ar-SA"/>
        </w:rPr>
        <w:t>服务，权重1分，得分0.765分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bookmarkStart w:id="235" w:name="_Toc521"/>
      <w:r>
        <w:rPr>
          <w:rFonts w:hint="eastAsia" w:ascii="仿宋" w:hAnsi="仿宋" w:eastAsia="仿宋" w:cs="仿宋"/>
          <w:b/>
          <w:bCs w:val="0"/>
          <w:kern w:val="2"/>
          <w:sz w:val="28"/>
          <w:szCs w:val="28"/>
          <w:highlight w:val="none"/>
          <w:lang w:val="en-US" w:eastAsia="zh-CN" w:bidi="ar-SA"/>
        </w:rPr>
        <w:t>14.</w:t>
      </w:r>
      <w:r>
        <w:rPr>
          <w:rFonts w:hint="default" w:ascii="仿宋" w:hAnsi="仿宋" w:eastAsia="仿宋" w:cs="仿宋"/>
          <w:b/>
          <w:bCs w:val="0"/>
          <w:kern w:val="2"/>
          <w:sz w:val="28"/>
          <w:szCs w:val="28"/>
          <w:highlight w:val="none"/>
          <w:lang w:val="en-US" w:eastAsia="zh-CN" w:bidi="ar-SA"/>
        </w:rPr>
        <w:t>健康素养促进行动</w:t>
      </w:r>
      <w:r>
        <w:rPr>
          <w:rFonts w:hint="eastAsia" w:ascii="仿宋" w:hAnsi="仿宋" w:eastAsia="仿宋" w:cs="仿宋"/>
          <w:b/>
          <w:bCs w:val="0"/>
          <w:kern w:val="2"/>
          <w:sz w:val="28"/>
          <w:szCs w:val="28"/>
          <w:highlight w:val="none"/>
          <w:lang w:val="en-US" w:eastAsia="zh-CN" w:bidi="ar-SA"/>
        </w:rPr>
        <w:t>，权重1分，得分0.444分</w:t>
      </w:r>
      <w:bookmarkEnd w:id="23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bookmarkStart w:id="236" w:name="_Toc18343"/>
      <w:r>
        <w:rPr>
          <w:rFonts w:hint="eastAsia" w:ascii="仿宋" w:hAnsi="仿宋" w:eastAsia="仿宋" w:cs="仿宋"/>
          <w:b w:val="0"/>
          <w:bCs/>
          <w:kern w:val="2"/>
          <w:sz w:val="28"/>
          <w:szCs w:val="28"/>
          <w:highlight w:val="none"/>
          <w:lang w:val="en-US" w:eastAsia="zh-CN" w:bidi="ar-SA"/>
        </w:rPr>
        <w:t>临猗县疾控中心及各基层医疗单位均认真开展了</w:t>
      </w:r>
      <w:r>
        <w:rPr>
          <w:rFonts w:hint="default" w:ascii="仿宋" w:hAnsi="仿宋" w:eastAsia="仿宋" w:cs="仿宋"/>
          <w:b w:val="0"/>
          <w:bCs/>
          <w:kern w:val="2"/>
          <w:sz w:val="28"/>
          <w:szCs w:val="28"/>
          <w:highlight w:val="none"/>
          <w:lang w:val="en-US" w:eastAsia="zh-CN" w:bidi="ar-SA"/>
        </w:rPr>
        <w:t>健康素养促进行动</w:t>
      </w:r>
      <w:r>
        <w:rPr>
          <w:rFonts w:hint="eastAsia" w:ascii="仿宋" w:hAnsi="仿宋" w:eastAsia="仿宋" w:cs="仿宋"/>
          <w:b w:val="0"/>
          <w:bCs/>
          <w:kern w:val="2"/>
          <w:sz w:val="28"/>
          <w:szCs w:val="28"/>
          <w:highlight w:val="none"/>
          <w:lang w:val="en-US" w:eastAsia="zh-CN" w:bidi="ar-SA"/>
        </w:rPr>
        <w:t>，通过多方式健康教育、宣传、利用个体化健康教育与家庭医生签约相结合等方式进一步加强慢性病、儿童、孕产妇、地方病等重点领域和青少年远离烟草、重点人群的健康教育；2020年还重点开展了健康生活方式、合理膳食、三减三健、学生营养改善、儿童视力保健等相关的宣传活动，同时临猗县疾控中心对各基层医疗机构健康素养促进行了定期的考核和指导。各基层机构均对辖区居民的健康知识知晓率、健康素养水平提升情况进行了调查，但部分机构对具体的知晓率未统计汇总，无法得出准确的结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 xml:space="preserve">2020年“5.31世界无烟日”，围绕“保护青少远离传统烟草产品和电子烟”的活动主题 ，各乡镇卫生院大力宣传烟草和二手烟的危害；向群众普及烟草危害知识，开展健康干预，提高了居民对吸烟及二手烟的危害认识；但通过2020年临猗县15岁及以上人群烟草使用流行率较上年是否降低不低于0.6%无法得知准确结果。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评价人员抽查的5家基层医疗卫生机构进行评价，经加权平均计算后，本指标权重1分，得分0.444分。</w:t>
      </w:r>
      <w:bookmarkEnd w:id="23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lang w:val="en-US" w:eastAsia="zh-CN"/>
        </w:rPr>
      </w:pPr>
      <w:bookmarkStart w:id="237" w:name="_Toc18862"/>
      <w:r>
        <w:rPr>
          <w:rFonts w:hint="eastAsia" w:ascii="仿宋" w:hAnsi="仿宋" w:eastAsia="仿宋" w:cs="仿宋"/>
          <w:b/>
          <w:sz w:val="28"/>
          <w:szCs w:val="28"/>
          <w:lang w:val="en-US" w:eastAsia="zh-CN"/>
        </w:rPr>
        <w:t>15.地方病防治，权重1分，得1分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地方病防治工作主要包括：碘缺乏防治、饮水型氟中毒和布病管理，具体工作由临猗县疾病预防控制中心实施完成，具体情况如下：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default" w:ascii="仿宋" w:hAnsi="仿宋" w:eastAsia="仿宋" w:cs="仿宋"/>
          <w:b w:val="0"/>
          <w:bCs/>
          <w:kern w:val="2"/>
          <w:sz w:val="28"/>
          <w:szCs w:val="28"/>
          <w:highlight w:val="none"/>
          <w:lang w:val="en-US" w:eastAsia="zh-CN" w:bidi="ar-SA"/>
        </w:rPr>
        <w:t>①</w:t>
      </w:r>
      <w:r>
        <w:rPr>
          <w:rFonts w:hint="eastAsia" w:ascii="仿宋" w:hAnsi="仿宋" w:eastAsia="仿宋" w:cs="仿宋"/>
          <w:b w:val="0"/>
          <w:bCs/>
          <w:kern w:val="2"/>
          <w:sz w:val="28"/>
          <w:szCs w:val="28"/>
          <w:highlight w:val="none"/>
          <w:lang w:val="en-US" w:eastAsia="zh-CN" w:bidi="ar-SA"/>
        </w:rPr>
        <w:t>2020年度碘缺乏防治工作任务为：在楚侯、三管、北辛、角杯、猗氏五个乡镇，每个乡镇抽1所小学采集8-12岁儿童家中食盐40份，尿样40份；每个乡镇各采集孕妇食用盐20份，尿样20份，</w:t>
      </w:r>
      <w:bookmarkStart w:id="334" w:name="_GoBack"/>
      <w:r>
        <w:rPr>
          <w:rFonts w:hint="eastAsia" w:ascii="仿宋" w:hAnsi="仿宋" w:eastAsia="仿宋" w:cs="仿宋"/>
          <w:b w:val="0"/>
          <w:bCs/>
          <w:kern w:val="2"/>
          <w:sz w:val="28"/>
          <w:szCs w:val="28"/>
          <w:highlight w:val="none"/>
          <w:lang w:val="en-US" w:eastAsia="zh-CN" w:bidi="ar-SA"/>
        </w:rPr>
        <w:t>进行尿碘、盐碘含量监测并开展碘缺乏病健康教育活动。</w:t>
      </w:r>
    </w:p>
    <w:bookmarkEnd w:id="334"/>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 xml:space="preserve">    2020年实际选取了200位8-12岁儿童、100位孕妇家中食盐及尿样进行了监测，300份食用盐中合格碘盐食用率为96%、碘盐覆盖率100%；200名儿童尿碘中位数为288ug/L；100名孕妇尿碘中位数为300ug/L，儿童孕妇尿碘中位数均符合国家标准。该项指标权重0.4分，得0.4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default" w:ascii="仿宋" w:hAnsi="仿宋" w:eastAsia="仿宋" w:cs="仿宋"/>
          <w:b/>
          <w:bCs w:val="0"/>
          <w:kern w:val="2"/>
          <w:sz w:val="28"/>
          <w:szCs w:val="28"/>
          <w:highlight w:val="none"/>
          <w:lang w:val="en-US" w:eastAsia="zh-CN" w:bidi="ar-SA"/>
        </w:rPr>
        <w:t>②</w:t>
      </w:r>
      <w:r>
        <w:rPr>
          <w:rFonts w:hint="eastAsia" w:ascii="仿宋" w:hAnsi="仿宋" w:eastAsia="仿宋" w:cs="仿宋"/>
          <w:b/>
          <w:bCs w:val="0"/>
          <w:kern w:val="2"/>
          <w:sz w:val="28"/>
          <w:szCs w:val="28"/>
          <w:highlight w:val="none"/>
          <w:lang w:val="en-US" w:eastAsia="zh-CN" w:bidi="ar-SA"/>
        </w:rPr>
        <w:t>饮水型氟中毒</w:t>
      </w:r>
    </w:p>
    <w:p>
      <w:pPr>
        <w:pStyle w:val="2"/>
        <w:keepNext w:val="0"/>
        <w:keepLines w:val="0"/>
        <w:pageBreakBefore w:val="0"/>
        <w:widowControl w:val="0"/>
        <w:kinsoku/>
        <w:wordWrap/>
        <w:overflowPunct/>
        <w:topLinePunct w:val="0"/>
        <w:autoSpaceDE/>
        <w:autoSpaceDN/>
        <w:bidi w:val="0"/>
        <w:adjustRightInd/>
        <w:snapToGrid/>
        <w:spacing w:after="0"/>
        <w:ind w:firstLine="561"/>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依据《山西省地方病防治专项攻坚行动实施方案（2018—2020年》，临猗县疾控中心制订《临猗县2020年饮用水型地方性氟中毒监测工作方案》对全县历史氟区328个病区村实施生活饮用水氟含量监测、8-12岁儿童氟斑牙病情监测和氟骨症患者进行健康管理。</w:t>
      </w:r>
    </w:p>
    <w:p>
      <w:pPr>
        <w:pStyle w:val="2"/>
        <w:keepNext w:val="0"/>
        <w:keepLines w:val="0"/>
        <w:pageBreakBefore w:val="0"/>
        <w:widowControl w:val="0"/>
        <w:kinsoku/>
        <w:wordWrap/>
        <w:overflowPunct/>
        <w:topLinePunct w:val="0"/>
        <w:autoSpaceDE/>
        <w:autoSpaceDN/>
        <w:bidi w:val="0"/>
        <w:adjustRightInd/>
        <w:snapToGrid/>
        <w:spacing w:after="0"/>
        <w:ind w:firstLine="561"/>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全县328个病区村已全部改水，2020年共监测106个改水工程，水氟含量均合格；对病区村7917名8-12岁儿童进行氟斑牙监测，检出氟斑牙患者1025例，氟斑牙检出率为12.95%；2020年复核评估547名氟骨症，现确诊209例，其中轻度100例，中度71例，重度38例，对中重症病例纳入城乡民居民医保门诊慢性病保障范围，在病种限额内采取定点救治，病人的随访督导工作已完成。</w:t>
      </w:r>
    </w:p>
    <w:p>
      <w:pPr>
        <w:pStyle w:val="2"/>
        <w:keepNext w:val="0"/>
        <w:keepLines w:val="0"/>
        <w:pageBreakBefore w:val="0"/>
        <w:widowControl w:val="0"/>
        <w:kinsoku/>
        <w:wordWrap/>
        <w:overflowPunct/>
        <w:topLinePunct w:val="0"/>
        <w:autoSpaceDE/>
        <w:autoSpaceDN/>
        <w:bidi w:val="0"/>
        <w:adjustRightInd/>
        <w:snapToGrid/>
        <w:spacing w:after="0"/>
        <w:ind w:firstLine="561"/>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该项指标权重0.4分，得0.4分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default" w:ascii="Calibri" w:hAnsi="Calibri" w:eastAsia="仿宋" w:cs="Calibri"/>
          <w:b/>
          <w:bCs w:val="0"/>
          <w:kern w:val="2"/>
          <w:sz w:val="28"/>
          <w:szCs w:val="28"/>
          <w:highlight w:val="none"/>
          <w:lang w:val="en-US" w:eastAsia="zh-CN" w:bidi="ar-SA"/>
        </w:rPr>
        <w:t>③</w:t>
      </w:r>
      <w:r>
        <w:rPr>
          <w:rFonts w:hint="eastAsia" w:ascii="仿宋" w:hAnsi="仿宋" w:eastAsia="仿宋" w:cs="仿宋"/>
          <w:b w:val="0"/>
          <w:bCs/>
          <w:kern w:val="2"/>
          <w:sz w:val="28"/>
          <w:szCs w:val="28"/>
          <w:highlight w:val="none"/>
          <w:lang w:val="en-US" w:eastAsia="zh-CN" w:bidi="ar-SA"/>
        </w:rPr>
        <w:t>临猗县2020年布病工作任务为：高危人群筛查200人，职业人群防治行为干预300人，布病病例管理80次，达到高危人群筛查率、职业人群防治行为干预率、病病例治疗督导服药次数均达到100%。</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 xml:space="preserve">    为及时发现、诊断、治疗布病病例，避免慢性化造成的进一步危害，临猗县疾控中心对全县11个乡镇的271名高危职业人群进行了布病筛查，确诊布病2例，隐性感染者35例；2020年度通过制作防治宣传材料、布病知识问卷调查、举办健康教育讲座对布病防治进行了宣传，让更多的群众关注布病，认识布病；并向养殖等职业人群发放300份行为干预包；通过乡镇卫生防疫员和中心工作人员的共同督导，2020年布病病例治疗督导服药次数已超过128人次。该项指标权重0.2分，得0.2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sz w:val="28"/>
          <w:szCs w:val="28"/>
          <w:lang w:val="en-US" w:eastAsia="zh-CN"/>
        </w:rPr>
        <w:t>地方病防治，权重1分，得1分。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16.职业病防冶  权重1分，得0.6分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临猗县职业病防治项目分为两个子项目，包括：职业病危害因素监测和重点职业病监测。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临猗县2020年完成20家企业的职业病危害因素监测，其中开展职业健康体检的有10家。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临猗县2020年重点职业病监测主要完成情况：对新中国成立至临猗县的尘肺病人开展回顾性调查，运城市疾控中心转发的临猗县3名尘肺患者，经核查现均已不在临猗辖区居住。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临猗县疾控中心2020年完成2户非医疗机构放射性危害因素监测，监测对象类别分别是密封源测井和核仪表，相关放射工作人员共计17人，2020年均已进行职业健康检查，并对其进行了放射防护培训。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临猗县职业病监测单位的职业危害网络申报情况无数据；2020年接触职业危害因素的劳动者体检具体人数无数据，且未能获取到临猗县重点行业职业病危害具体现状、发病特点、变化趋势和规律等资料。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sz w:val="28"/>
          <w:szCs w:val="28"/>
          <w:highlight w:val="none"/>
          <w:lang w:val="en-US" w:eastAsia="zh-CN"/>
        </w:rPr>
        <w:t>职业病防治，权重1分，依据项目的实际开展情况，扣去0.4分，得0.6分。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17.重大疾病与健康危害因素监测</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eastAsia" w:ascii="Times New Roman" w:hAnsi="Times New Roman" w:eastAsia="仿宋_GB2312" w:cs="Times New Roman"/>
          <w:bCs/>
          <w:color w:val="000000"/>
          <w:kern w:val="2"/>
          <w:sz w:val="30"/>
          <w:szCs w:val="30"/>
          <w:highlight w:val="none"/>
          <w:lang w:val="en-US" w:eastAsia="zh-CN" w:bidi="ar-SA"/>
        </w:rPr>
      </w:pPr>
      <w:r>
        <w:rPr>
          <w:rFonts w:hint="eastAsia" w:ascii="Times New Roman" w:hAnsi="Times New Roman" w:eastAsia="仿宋_GB2312" w:cs="Times New Roman"/>
          <w:bCs/>
          <w:color w:val="000000"/>
          <w:kern w:val="2"/>
          <w:sz w:val="30"/>
          <w:szCs w:val="30"/>
          <w:highlight w:val="none"/>
          <w:lang w:val="en-US" w:eastAsia="zh-CN" w:bidi="ar-SA"/>
        </w:rPr>
        <w:t>临猗县2020年重大疾病与健康危害因素监测包括疾病监测和健康危害因素监测，由临猗县疾病预防控制中心完成。</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eastAsia" w:ascii="Times New Roman" w:hAnsi="Times New Roman" w:eastAsia="仿宋_GB2312" w:cs="Times New Roman"/>
          <w:b/>
          <w:bCs w:val="0"/>
          <w:color w:val="000000"/>
          <w:kern w:val="2"/>
          <w:sz w:val="30"/>
          <w:szCs w:val="30"/>
          <w:highlight w:val="none"/>
          <w:lang w:val="en-US" w:eastAsia="zh-CN" w:bidi="ar-SA"/>
        </w:rPr>
      </w:pPr>
      <w:r>
        <w:rPr>
          <w:rFonts w:hint="default" w:ascii="Times New Roman" w:hAnsi="Times New Roman" w:eastAsia="仿宋_GB2312" w:cs="Times New Roman"/>
          <w:b/>
          <w:bCs w:val="0"/>
          <w:color w:val="000000"/>
          <w:kern w:val="2"/>
          <w:sz w:val="30"/>
          <w:szCs w:val="30"/>
          <w:highlight w:val="none"/>
          <w:lang w:val="en-US" w:eastAsia="zh-CN" w:bidi="ar-SA"/>
        </w:rPr>
        <w:t>①</w:t>
      </w:r>
      <w:r>
        <w:rPr>
          <w:rFonts w:hint="eastAsia" w:ascii="Times New Roman" w:hAnsi="Times New Roman" w:eastAsia="仿宋_GB2312" w:cs="Times New Roman"/>
          <w:b/>
          <w:bCs w:val="0"/>
          <w:color w:val="000000"/>
          <w:kern w:val="2"/>
          <w:sz w:val="30"/>
          <w:szCs w:val="30"/>
          <w:highlight w:val="none"/>
          <w:lang w:val="en-US" w:eastAsia="zh-CN" w:bidi="ar-SA"/>
        </w:rPr>
        <w:t>疾病监测</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2020年临猗县报告传染病2632例，其中：乙类传染病1766例、丙类传染病866例，重点传染病报告30例，其中：手足口病28例、乙脑2例；疑似疟疾不明原因发热325例，复核40例；新冠疫情流调115人（密接58人），采集冷链食品、相关工作人员、环境样本共计17799份。</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2020年临猗县未发现有人禽流感、SARS、鼠疫、不明原因肺炎。</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疾病监测，权重1分得1分。</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eastAsia" w:ascii="Times New Roman" w:hAnsi="Times New Roman" w:eastAsia="仿宋_GB2312" w:cs="Times New Roman"/>
          <w:b/>
          <w:bCs w:val="0"/>
          <w:color w:val="000000"/>
          <w:kern w:val="2"/>
          <w:sz w:val="30"/>
          <w:szCs w:val="30"/>
          <w:highlight w:val="none"/>
          <w:lang w:val="en-US" w:eastAsia="zh-CN" w:bidi="ar-SA"/>
        </w:rPr>
      </w:pPr>
      <w:r>
        <w:rPr>
          <w:rFonts w:hint="default" w:ascii="Times New Roman" w:hAnsi="Times New Roman" w:eastAsia="仿宋_GB2312" w:cs="Times New Roman"/>
          <w:b/>
          <w:bCs w:val="0"/>
          <w:color w:val="000000"/>
          <w:kern w:val="2"/>
          <w:sz w:val="30"/>
          <w:szCs w:val="30"/>
          <w:highlight w:val="none"/>
          <w:lang w:val="en-US" w:eastAsia="zh-CN" w:bidi="ar-SA"/>
        </w:rPr>
        <w:t>②</w:t>
      </w:r>
      <w:r>
        <w:rPr>
          <w:rFonts w:hint="eastAsia" w:ascii="Times New Roman" w:hAnsi="Times New Roman" w:eastAsia="仿宋_GB2312" w:cs="Times New Roman"/>
          <w:b/>
          <w:bCs w:val="0"/>
          <w:color w:val="000000"/>
          <w:kern w:val="2"/>
          <w:sz w:val="30"/>
          <w:szCs w:val="30"/>
          <w:highlight w:val="none"/>
          <w:lang w:val="en-US" w:eastAsia="zh-CN" w:bidi="ar-SA"/>
        </w:rPr>
        <w:t>健康危害因素监测</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default" w:ascii="Times New Roman" w:hAnsi="Times New Roman" w:eastAsia="仿宋_GB2312" w:cs="Times New Roman"/>
          <w:bCs/>
          <w:color w:val="000000"/>
          <w:kern w:val="2"/>
          <w:sz w:val="30"/>
          <w:szCs w:val="30"/>
          <w:highlight w:val="none"/>
          <w:lang w:val="en-US" w:eastAsia="zh-CN" w:bidi="ar-SA"/>
        </w:rPr>
      </w:pPr>
      <w:r>
        <w:rPr>
          <w:rFonts w:hint="eastAsia" w:ascii="Times New Roman" w:hAnsi="Times New Roman" w:eastAsia="仿宋_GB2312" w:cs="Times New Roman"/>
          <w:bCs/>
          <w:color w:val="000000"/>
          <w:kern w:val="2"/>
          <w:sz w:val="30"/>
          <w:szCs w:val="30"/>
          <w:highlight w:val="none"/>
          <w:lang w:val="en-US" w:eastAsia="zh-CN" w:bidi="ar-SA"/>
        </w:rPr>
        <w:t>A.中国青少年烟草流行动态监测2020年未实施，扣掉权重0.125分。</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eastAsia" w:ascii="Times New Roman" w:hAnsi="Times New Roman" w:eastAsia="仿宋_GB2312" w:cs="Times New Roman"/>
          <w:b/>
          <w:bCs w:val="0"/>
          <w:color w:val="000000"/>
          <w:kern w:val="2"/>
          <w:sz w:val="30"/>
          <w:szCs w:val="30"/>
          <w:highlight w:val="none"/>
          <w:lang w:val="en-US" w:eastAsia="zh-CN" w:bidi="ar-SA"/>
        </w:rPr>
      </w:pPr>
      <w:r>
        <w:rPr>
          <w:rFonts w:hint="eastAsia" w:ascii="Times New Roman" w:hAnsi="Times New Roman" w:eastAsia="仿宋_GB2312" w:cs="Times New Roman"/>
          <w:b/>
          <w:bCs w:val="0"/>
          <w:color w:val="000000"/>
          <w:kern w:val="2"/>
          <w:sz w:val="30"/>
          <w:szCs w:val="30"/>
          <w:highlight w:val="none"/>
          <w:lang w:val="en-US" w:eastAsia="zh-CN" w:bidi="ar-SA"/>
        </w:rPr>
        <w:t>B.饮用水和环境卫生监测</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2020年已完成《2020年山西省饮用水水质监测工作方案》和《运城市2020年饮用水水质卫生监测工作方案》中下达的饮用水监测任务。具体为：本年分别于丰水期（8月31日至9月24日）和枯水期（4月21日至5月20日）各采集临猗县城区、乡镇及学校共计51个监测点的城乡饮用水，其中：城区6个监测点，乡镇42个监测点，学校3个监测点，水样类型包括出厂水和末梢水，经检测氟化物、砷、硒、汞、铝等含量均符合《生活饮用水卫生标准》。</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为贯彻落实《关于印发运城市水污染防治工作方案（2016-2020）的通知》的要求，保障临猗县2020年城区水龙头水质卫生监测工作的实施，依据《2020年临猗县城区水龙头水质监测工作方案》，临猗县疾控中心分别于2020年的每个季度对选取的25个监测点水质进行监测，水样检测内容是按照《生活饮用水标准检验方法》（GB/T5750-2006）对每份水样包括感官性状和一般化学指标、毒理学指标、微生物学指标等20项指标进行检测，检测结果全部达标。</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eastAsia" w:ascii="Times New Roman" w:hAnsi="Times New Roman" w:eastAsia="仿宋_GB2312" w:cs="Times New Roman"/>
          <w:b/>
          <w:bCs w:val="0"/>
          <w:color w:val="000000"/>
          <w:kern w:val="2"/>
          <w:sz w:val="30"/>
          <w:szCs w:val="30"/>
          <w:highlight w:val="none"/>
          <w:lang w:val="en-US" w:eastAsia="zh-CN" w:bidi="ar-SA"/>
        </w:rPr>
      </w:pPr>
      <w:r>
        <w:rPr>
          <w:rFonts w:hint="eastAsia" w:ascii="Times New Roman" w:hAnsi="Times New Roman" w:eastAsia="仿宋_GB2312" w:cs="Times New Roman"/>
          <w:b/>
          <w:bCs w:val="0"/>
          <w:color w:val="000000"/>
          <w:kern w:val="2"/>
          <w:sz w:val="30"/>
          <w:szCs w:val="30"/>
          <w:highlight w:val="none"/>
          <w:lang w:val="en-US" w:eastAsia="zh-CN" w:bidi="ar-SA"/>
        </w:rPr>
        <w:t>C食品安全风险监测</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疾控部门制订了《2020年临猗县食品安全风险监测采样方案》，依据方案，2020年共采集、送检食品样品73份；全年审核医院食源性疾病病例1452例；监测到临猗县2020年发生5起食源性疾病暴发事件。</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eastAsia" w:ascii="Times New Roman" w:hAnsi="Times New Roman" w:eastAsia="仿宋_GB2312" w:cs="Times New Roman"/>
          <w:b/>
          <w:bCs w:val="0"/>
          <w:color w:val="000000"/>
          <w:kern w:val="2"/>
          <w:sz w:val="30"/>
          <w:szCs w:val="30"/>
          <w:highlight w:val="none"/>
          <w:lang w:val="en-US" w:eastAsia="zh-CN" w:bidi="ar-SA"/>
        </w:rPr>
      </w:pPr>
      <w:r>
        <w:rPr>
          <w:rFonts w:hint="eastAsia" w:ascii="Times New Roman" w:hAnsi="Times New Roman" w:eastAsia="仿宋_GB2312" w:cs="Times New Roman"/>
          <w:b/>
          <w:bCs w:val="0"/>
          <w:color w:val="000000"/>
          <w:kern w:val="2"/>
          <w:sz w:val="30"/>
          <w:szCs w:val="30"/>
          <w:highlight w:val="none"/>
          <w:lang w:val="en-US" w:eastAsia="zh-CN" w:bidi="ar-SA"/>
        </w:rPr>
        <w:t>D妇幼卫生监测</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default" w:ascii="仿宋" w:hAnsi="仿宋" w:eastAsia="仿宋" w:cs="仿宋"/>
          <w:b w:val="0"/>
          <w:bCs/>
          <w:kern w:val="2"/>
          <w:sz w:val="28"/>
          <w:szCs w:val="28"/>
          <w:highlight w:val="none"/>
          <w:lang w:val="en-US" w:eastAsia="zh-CN" w:bidi="ar-SA"/>
        </w:rPr>
      </w:pPr>
      <w:r>
        <w:rPr>
          <w:rFonts w:hint="default" w:ascii="仿宋" w:hAnsi="仿宋" w:eastAsia="仿宋" w:cs="仿宋"/>
          <w:b w:val="0"/>
          <w:bCs/>
          <w:kern w:val="2"/>
          <w:sz w:val="28"/>
          <w:szCs w:val="28"/>
          <w:highlight w:val="none"/>
          <w:lang w:val="en-US" w:eastAsia="zh-CN" w:bidi="ar-SA"/>
        </w:rPr>
        <w:t>20</w:t>
      </w:r>
      <w:r>
        <w:rPr>
          <w:rFonts w:hint="eastAsia" w:ascii="仿宋" w:hAnsi="仿宋" w:eastAsia="仿宋" w:cs="仿宋"/>
          <w:b w:val="0"/>
          <w:bCs/>
          <w:kern w:val="2"/>
          <w:sz w:val="28"/>
          <w:szCs w:val="28"/>
          <w:highlight w:val="none"/>
          <w:lang w:val="en-US" w:eastAsia="zh-CN" w:bidi="ar-SA"/>
        </w:rPr>
        <w:t>20</w:t>
      </w:r>
      <w:r>
        <w:rPr>
          <w:rFonts w:hint="default" w:ascii="仿宋" w:hAnsi="仿宋" w:eastAsia="仿宋" w:cs="仿宋"/>
          <w:b w:val="0"/>
          <w:bCs/>
          <w:kern w:val="2"/>
          <w:sz w:val="28"/>
          <w:szCs w:val="28"/>
          <w:highlight w:val="none"/>
          <w:lang w:val="en-US" w:eastAsia="zh-CN" w:bidi="ar-SA"/>
        </w:rPr>
        <w:t>年孕死监测工作:活产数</w:t>
      </w:r>
      <w:r>
        <w:rPr>
          <w:rFonts w:hint="eastAsia" w:ascii="仿宋" w:hAnsi="仿宋" w:eastAsia="仿宋" w:cs="仿宋"/>
          <w:b w:val="0"/>
          <w:bCs/>
          <w:kern w:val="2"/>
          <w:sz w:val="28"/>
          <w:szCs w:val="28"/>
          <w:highlight w:val="none"/>
          <w:lang w:val="en-US" w:eastAsia="zh-CN" w:bidi="ar-SA"/>
        </w:rPr>
        <w:t>3463人</w:t>
      </w:r>
      <w:r>
        <w:rPr>
          <w:rFonts w:hint="default" w:ascii="仿宋" w:hAnsi="仿宋" w:eastAsia="仿宋" w:cs="仿宋"/>
          <w:b w:val="0"/>
          <w:bCs/>
          <w:kern w:val="2"/>
          <w:sz w:val="28"/>
          <w:szCs w:val="28"/>
          <w:highlight w:val="none"/>
          <w:lang w:val="en-US" w:eastAsia="zh-CN" w:bidi="ar-SA"/>
        </w:rPr>
        <w:t>，孕产妇死亡</w:t>
      </w:r>
      <w:r>
        <w:rPr>
          <w:rFonts w:hint="eastAsia" w:ascii="仿宋" w:hAnsi="仿宋" w:eastAsia="仿宋" w:cs="仿宋"/>
          <w:b w:val="0"/>
          <w:bCs/>
          <w:kern w:val="2"/>
          <w:sz w:val="28"/>
          <w:szCs w:val="28"/>
          <w:highlight w:val="none"/>
          <w:lang w:val="en-US" w:eastAsia="zh-CN" w:bidi="ar-SA"/>
        </w:rPr>
        <w:t>0</w:t>
      </w:r>
      <w:r>
        <w:rPr>
          <w:rFonts w:hint="default" w:ascii="仿宋" w:hAnsi="仿宋" w:eastAsia="仿宋" w:cs="仿宋"/>
          <w:b w:val="0"/>
          <w:bCs/>
          <w:kern w:val="2"/>
          <w:sz w:val="28"/>
          <w:szCs w:val="28"/>
          <w:highlight w:val="none"/>
          <w:lang w:val="en-US" w:eastAsia="zh-CN" w:bidi="ar-SA"/>
        </w:rPr>
        <w:t>例</w:t>
      </w:r>
      <w:r>
        <w:rPr>
          <w:rFonts w:hint="eastAsia" w:ascii="仿宋" w:hAnsi="仿宋" w:eastAsia="仿宋" w:cs="仿宋"/>
          <w:b w:val="0"/>
          <w:bCs/>
          <w:kern w:val="2"/>
          <w:sz w:val="28"/>
          <w:szCs w:val="28"/>
          <w:highlight w:val="none"/>
          <w:lang w:val="en-US" w:eastAsia="zh-CN" w:bidi="ar-SA"/>
        </w:rPr>
        <w:t>；</w:t>
      </w:r>
      <w:r>
        <w:rPr>
          <w:rFonts w:hint="default" w:ascii="仿宋" w:hAnsi="仿宋" w:eastAsia="仿宋" w:cs="仿宋"/>
          <w:b w:val="0"/>
          <w:bCs/>
          <w:kern w:val="2"/>
          <w:sz w:val="28"/>
          <w:szCs w:val="28"/>
          <w:highlight w:val="none"/>
          <w:lang w:val="en-US" w:eastAsia="zh-CN" w:bidi="ar-SA"/>
        </w:rPr>
        <w:t>20</w:t>
      </w:r>
      <w:r>
        <w:rPr>
          <w:rFonts w:hint="eastAsia" w:ascii="仿宋" w:hAnsi="仿宋" w:eastAsia="仿宋" w:cs="仿宋"/>
          <w:b w:val="0"/>
          <w:bCs/>
          <w:kern w:val="2"/>
          <w:sz w:val="28"/>
          <w:szCs w:val="28"/>
          <w:highlight w:val="none"/>
          <w:lang w:val="en-US" w:eastAsia="zh-CN" w:bidi="ar-SA"/>
        </w:rPr>
        <w:t>20</w:t>
      </w:r>
      <w:r>
        <w:rPr>
          <w:rFonts w:hint="default" w:ascii="仿宋" w:hAnsi="仿宋" w:eastAsia="仿宋" w:cs="仿宋"/>
          <w:b w:val="0"/>
          <w:bCs/>
          <w:kern w:val="2"/>
          <w:sz w:val="28"/>
          <w:szCs w:val="28"/>
          <w:highlight w:val="none"/>
          <w:lang w:val="en-US" w:eastAsia="zh-CN" w:bidi="ar-SA"/>
        </w:rPr>
        <w:t>年5岁以下儿童死亡监测工作：活产数</w:t>
      </w:r>
      <w:r>
        <w:rPr>
          <w:rFonts w:hint="eastAsia" w:ascii="仿宋" w:hAnsi="仿宋" w:eastAsia="仿宋" w:cs="仿宋"/>
          <w:b w:val="0"/>
          <w:bCs/>
          <w:kern w:val="2"/>
          <w:sz w:val="28"/>
          <w:szCs w:val="28"/>
          <w:highlight w:val="none"/>
          <w:lang w:val="en-US" w:eastAsia="zh-CN" w:bidi="ar-SA"/>
        </w:rPr>
        <w:t>3463</w:t>
      </w:r>
      <w:r>
        <w:rPr>
          <w:rFonts w:hint="default" w:ascii="仿宋" w:hAnsi="仿宋" w:eastAsia="仿宋" w:cs="仿宋"/>
          <w:b w:val="0"/>
          <w:bCs/>
          <w:kern w:val="2"/>
          <w:sz w:val="28"/>
          <w:szCs w:val="28"/>
          <w:highlight w:val="none"/>
          <w:lang w:val="en-US" w:eastAsia="zh-CN" w:bidi="ar-SA"/>
        </w:rPr>
        <w:t>人，5岁以下儿童死亡</w:t>
      </w:r>
      <w:r>
        <w:rPr>
          <w:rFonts w:hint="eastAsia" w:ascii="仿宋" w:hAnsi="仿宋" w:eastAsia="仿宋" w:cs="仿宋"/>
          <w:b w:val="0"/>
          <w:bCs/>
          <w:kern w:val="2"/>
          <w:sz w:val="28"/>
          <w:szCs w:val="28"/>
          <w:highlight w:val="none"/>
          <w:lang w:val="en-US" w:eastAsia="zh-CN" w:bidi="ar-SA"/>
        </w:rPr>
        <w:t>33</w:t>
      </w:r>
      <w:r>
        <w:rPr>
          <w:rFonts w:hint="default" w:ascii="仿宋" w:hAnsi="仿宋" w:eastAsia="仿宋" w:cs="仿宋"/>
          <w:b w:val="0"/>
          <w:bCs/>
          <w:kern w:val="2"/>
          <w:sz w:val="28"/>
          <w:szCs w:val="28"/>
          <w:highlight w:val="none"/>
          <w:lang w:val="en-US" w:eastAsia="zh-CN" w:bidi="ar-SA"/>
        </w:rPr>
        <w:t>例</w:t>
      </w:r>
      <w:r>
        <w:rPr>
          <w:rFonts w:hint="eastAsia" w:ascii="仿宋" w:hAnsi="仿宋" w:eastAsia="仿宋" w:cs="仿宋"/>
          <w:b w:val="0"/>
          <w:bCs/>
          <w:kern w:val="2"/>
          <w:sz w:val="28"/>
          <w:szCs w:val="28"/>
          <w:highlight w:val="none"/>
          <w:lang w:val="en-US" w:eastAsia="zh-CN" w:bidi="ar-SA"/>
        </w:rPr>
        <w:t>，其中：婴儿死亡23例（其中新生儿死亡21例），1-4岁儿童死亡10例。</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新生儿死亡第一原因是早产或低出生体重造成，第二死亡原因是意外窒息，第三死亡原因是其他先天异常，通过分析，妇幼部门将加大孕产期保健宣传，逐步提升基层妇幼工作人员的业务水平，以降低儿童死亡率。</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健康危害因素监测权重0.5分，依据评标准得0.375分。</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重大疾病与健康危害因素监测，权重1.5分，得分1.375分。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sz w:val="28"/>
          <w:szCs w:val="28"/>
          <w:lang w:val="en-US" w:eastAsia="zh-CN"/>
        </w:rPr>
      </w:pPr>
      <w:r>
        <w:rPr>
          <w:rFonts w:hint="eastAsia" w:ascii="仿宋" w:hAnsi="仿宋" w:eastAsia="仿宋" w:cs="仿宋"/>
          <w:b w:val="0"/>
          <w:bCs/>
          <w:kern w:val="2"/>
          <w:sz w:val="28"/>
          <w:szCs w:val="28"/>
          <w:lang w:val="en-US" w:eastAsia="zh-CN" w:bidi="ar-SA"/>
        </w:rPr>
        <w:t xml:space="preserve"> </w:t>
      </w:r>
      <w:r>
        <w:rPr>
          <w:rFonts w:hint="eastAsia" w:ascii="仿宋" w:hAnsi="仿宋" w:eastAsia="仿宋" w:cs="仿宋"/>
          <w:b/>
          <w:sz w:val="28"/>
          <w:szCs w:val="28"/>
          <w:lang w:val="en-US" w:eastAsia="zh-CN"/>
        </w:rPr>
        <w:t>18.国家随机监督抽查</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双随机、一公开”监管是新形势下国务院全面深化改革和转变政府职能的一项重大决策，2020年4月20日《关于印发2020年山西省随机监督抽查计划的通知》进一步明确2020年国家双随机的抽检任务，临猗县2020年国家双随机抽查任务是75家单位，该项工作由临猗县卫生监督所完成。</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2020年已全部完成国抽任务75户单位，包括公共场所25户、放射卫生5户、学校卫生12户、医疗卫生13户、传染病防治12户、消毒产品2户、餐饮具消毒1户、妇幼健康5户。项目单位对检查中发现的问题，要求被抽检单位进行整改，情节严重的，进行跟踪管理。2020年国抽双随机任务完成后，监督部门未按照“谁检查、谁录入、谁公开”的原则，对抽查结果信息向社会公开。</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国家随机监督抽查，权重0.5分，依据评分标准得分0.3分。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 xml:space="preserve">19.人口监测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人口监测是为了完善人口信息，及时掌握人口出生、死亡、流动迁移情况，为评估生育政策效果、研判人口形势、推进健康中国建设和完善人口发展战略提供支撑。</w:t>
      </w:r>
    </w:p>
    <w:p>
      <w:pPr>
        <w:pStyle w:val="2"/>
        <w:numPr>
          <w:ilvl w:val="0"/>
          <w:numId w:val="0"/>
        </w:numPr>
        <w:ind w:firstLine="560" w:firstLineChars="200"/>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人口监测是2019年新划入基本公共卫生服务的项目，工作尚未完全启动，在评价中，我们从不同机构仅获取了全县2020年的死亡人口和出生人口监测数据，2020年临猗县死亡人口为3301人，死亡原因主要是心脏病、心脑血管、肿瘤造成的；2020年临猗县新出生人口为3463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本指标权重1分，依据实际情况扣去0.6分，得分0.4分。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281" w:firstLineChars="100"/>
        <w:textAlignment w:val="auto"/>
        <w:rPr>
          <w:rFonts w:ascii="仿宋" w:hAnsi="仿宋" w:eastAsia="仿宋" w:cs="仿宋"/>
          <w:b/>
          <w:sz w:val="28"/>
          <w:szCs w:val="28"/>
        </w:rPr>
      </w:pPr>
      <w:r>
        <w:rPr>
          <w:rFonts w:hint="eastAsia" w:ascii="仿宋" w:hAnsi="仿宋" w:eastAsia="仿宋" w:cs="仿宋"/>
          <w:b/>
          <w:sz w:val="28"/>
          <w:szCs w:val="28"/>
        </w:rPr>
        <w:t>（</w:t>
      </w:r>
      <w:r>
        <w:rPr>
          <w:rFonts w:hint="eastAsia" w:ascii="仿宋" w:hAnsi="仿宋" w:eastAsia="仿宋" w:cs="仿宋"/>
          <w:b/>
          <w:sz w:val="28"/>
          <w:szCs w:val="28"/>
          <w:lang w:val="en-US" w:eastAsia="zh-CN"/>
        </w:rPr>
        <w:t>四</w:t>
      </w:r>
      <w:r>
        <w:rPr>
          <w:rFonts w:hint="eastAsia" w:ascii="仿宋" w:hAnsi="仿宋" w:eastAsia="仿宋" w:cs="仿宋"/>
          <w:b/>
          <w:sz w:val="28"/>
          <w:szCs w:val="28"/>
        </w:rPr>
        <w:t>）</w:t>
      </w:r>
      <w:r>
        <w:rPr>
          <w:rFonts w:hint="eastAsia" w:ascii="仿宋" w:hAnsi="仿宋" w:eastAsia="仿宋" w:cs="仿宋"/>
          <w:b/>
          <w:sz w:val="28"/>
          <w:szCs w:val="28"/>
          <w:lang w:eastAsia="zh-CN"/>
        </w:rPr>
        <w:t>效益</w:t>
      </w:r>
      <w:r>
        <w:rPr>
          <w:rFonts w:hint="eastAsia" w:ascii="仿宋" w:hAnsi="仿宋" w:eastAsia="仿宋" w:cs="仿宋"/>
          <w:b/>
          <w:sz w:val="28"/>
          <w:szCs w:val="28"/>
          <w:lang w:val="en-US" w:eastAsia="zh-CN"/>
        </w:rPr>
        <w:t>情况</w:t>
      </w:r>
      <w:r>
        <w:rPr>
          <w:rFonts w:hint="eastAsia" w:ascii="仿宋" w:hAnsi="仿宋" w:eastAsia="仿宋" w:cs="仿宋"/>
          <w:b/>
          <w:sz w:val="28"/>
          <w:szCs w:val="28"/>
        </w:rPr>
        <w:t>分析</w:t>
      </w:r>
      <w:bookmarkEnd w:id="23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ascii="仿宋" w:hAnsi="仿宋" w:eastAsia="仿宋" w:cs="仿宋"/>
          <w:sz w:val="28"/>
          <w:szCs w:val="28"/>
          <w:highlight w:val="none"/>
        </w:rPr>
      </w:pPr>
      <w:bookmarkStart w:id="238" w:name="_Toc2472"/>
      <w:r>
        <w:rPr>
          <w:rFonts w:hint="eastAsia" w:ascii="仿宋" w:hAnsi="仿宋" w:eastAsia="仿宋" w:cs="仿宋"/>
          <w:sz w:val="28"/>
          <w:szCs w:val="28"/>
          <w:lang w:eastAsia="zh-CN"/>
        </w:rPr>
        <w:t>效益</w:t>
      </w:r>
      <w:r>
        <w:rPr>
          <w:rFonts w:ascii="仿宋" w:hAnsi="仿宋" w:eastAsia="仿宋" w:cs="仿宋"/>
          <w:sz w:val="28"/>
          <w:szCs w:val="28"/>
        </w:rPr>
        <w:t>分别从</w:t>
      </w:r>
      <w:r>
        <w:rPr>
          <w:rFonts w:hint="eastAsia" w:ascii="仿宋" w:hAnsi="仿宋" w:eastAsia="仿宋" w:cs="仿宋"/>
          <w:sz w:val="28"/>
          <w:szCs w:val="28"/>
          <w:lang w:eastAsia="zh-CN"/>
        </w:rPr>
        <w:t>重点人群管理效果、社会效益、</w:t>
      </w:r>
      <w:r>
        <w:rPr>
          <w:rFonts w:hint="eastAsia" w:ascii="仿宋" w:hAnsi="仿宋" w:eastAsia="仿宋" w:cs="仿宋"/>
          <w:sz w:val="28"/>
          <w:szCs w:val="28"/>
          <w:lang w:val="en-US" w:eastAsia="zh-CN"/>
        </w:rPr>
        <w:t>可持续影响、社会公众</w:t>
      </w:r>
      <w:r>
        <w:rPr>
          <w:rFonts w:hint="eastAsia" w:ascii="仿宋" w:hAnsi="仿宋" w:eastAsia="仿宋" w:cs="仿宋"/>
          <w:sz w:val="28"/>
          <w:szCs w:val="28"/>
          <w:lang w:eastAsia="zh-CN"/>
        </w:rPr>
        <w:t>满意度</w:t>
      </w:r>
      <w:r>
        <w:rPr>
          <w:rFonts w:hint="eastAsia" w:ascii="仿宋" w:hAnsi="仿宋" w:eastAsia="仿宋" w:cs="仿宋"/>
          <w:sz w:val="28"/>
          <w:szCs w:val="28"/>
          <w:lang w:val="en-US" w:eastAsia="zh-CN"/>
        </w:rPr>
        <w:t>四</w:t>
      </w:r>
      <w:r>
        <w:rPr>
          <w:rFonts w:hint="eastAsia" w:ascii="仿宋" w:hAnsi="仿宋" w:eastAsia="仿宋" w:cs="仿宋"/>
          <w:sz w:val="28"/>
          <w:szCs w:val="28"/>
          <w:lang w:eastAsia="zh-CN"/>
        </w:rPr>
        <w:t>个</w:t>
      </w:r>
      <w:r>
        <w:rPr>
          <w:rFonts w:hint="eastAsia" w:ascii="仿宋" w:hAnsi="仿宋" w:eastAsia="仿宋" w:cs="仿宋"/>
          <w:sz w:val="28"/>
          <w:szCs w:val="28"/>
        </w:rPr>
        <w:t>方面进行分析，共设置</w:t>
      </w:r>
      <w:r>
        <w:rPr>
          <w:rFonts w:hint="eastAsia" w:ascii="仿宋" w:hAnsi="仿宋" w:eastAsia="仿宋" w:cs="仿宋"/>
          <w:sz w:val="28"/>
          <w:szCs w:val="28"/>
          <w:lang w:val="en-US" w:eastAsia="zh-CN"/>
        </w:rPr>
        <w:t>四</w:t>
      </w:r>
      <w:r>
        <w:rPr>
          <w:rFonts w:hint="eastAsia" w:ascii="仿宋" w:hAnsi="仿宋" w:eastAsia="仿宋" w:cs="仿宋"/>
          <w:sz w:val="28"/>
          <w:szCs w:val="28"/>
        </w:rPr>
        <w:t>个二级指标</w:t>
      </w:r>
      <w:r>
        <w:rPr>
          <w:rFonts w:hint="eastAsia" w:ascii="仿宋" w:hAnsi="仿宋" w:eastAsia="仿宋" w:cs="仿宋"/>
          <w:sz w:val="28"/>
          <w:szCs w:val="28"/>
          <w:lang w:val="en-US" w:eastAsia="zh-CN"/>
        </w:rPr>
        <w:t>九</w:t>
      </w:r>
      <w:r>
        <w:rPr>
          <w:rFonts w:hint="eastAsia" w:ascii="仿宋" w:hAnsi="仿宋" w:eastAsia="仿宋" w:cs="仿宋"/>
          <w:sz w:val="28"/>
          <w:szCs w:val="28"/>
        </w:rPr>
        <w:t>个三级指标。</w:t>
      </w:r>
      <w:r>
        <w:rPr>
          <w:rFonts w:hint="eastAsia" w:ascii="仿宋" w:hAnsi="仿宋" w:eastAsia="仿宋" w:cs="仿宋"/>
          <w:sz w:val="28"/>
          <w:szCs w:val="28"/>
          <w:lang w:eastAsia="zh-CN"/>
        </w:rPr>
        <w:t>效益</w:t>
      </w:r>
      <w:r>
        <w:rPr>
          <w:rFonts w:hint="eastAsia" w:ascii="仿宋" w:hAnsi="仿宋" w:eastAsia="仿宋" w:cs="仿宋"/>
          <w:sz w:val="28"/>
          <w:szCs w:val="28"/>
        </w:rPr>
        <w:t>类指标分值</w:t>
      </w:r>
      <w:r>
        <w:rPr>
          <w:rFonts w:hint="eastAsia" w:ascii="仿宋" w:hAnsi="仿宋" w:eastAsia="仿宋" w:cs="仿宋"/>
          <w:sz w:val="28"/>
          <w:szCs w:val="28"/>
          <w:lang w:val="en-US" w:eastAsia="zh-CN"/>
        </w:rPr>
        <w:t>28</w:t>
      </w:r>
      <w:r>
        <w:rPr>
          <w:rFonts w:hint="eastAsia" w:ascii="仿宋" w:hAnsi="仿宋" w:eastAsia="仿宋" w:cs="仿宋"/>
          <w:sz w:val="28"/>
          <w:szCs w:val="28"/>
        </w:rPr>
        <w:t>分</w:t>
      </w:r>
      <w:r>
        <w:rPr>
          <w:rFonts w:hint="eastAsia" w:ascii="仿宋" w:hAnsi="仿宋" w:eastAsia="仿宋" w:cs="仿宋"/>
          <w:sz w:val="28"/>
          <w:szCs w:val="28"/>
          <w:highlight w:val="none"/>
        </w:rPr>
        <w:t>，实际得分</w:t>
      </w:r>
      <w:r>
        <w:rPr>
          <w:rFonts w:hint="eastAsia" w:ascii="仿宋" w:hAnsi="仿宋" w:eastAsia="仿宋" w:cs="仿宋"/>
          <w:sz w:val="28"/>
          <w:szCs w:val="28"/>
          <w:highlight w:val="none"/>
          <w:lang w:val="en-US" w:eastAsia="zh-CN"/>
        </w:rPr>
        <w:t>20.144</w:t>
      </w:r>
      <w:r>
        <w:rPr>
          <w:rFonts w:hint="eastAsia" w:ascii="仿宋" w:hAnsi="仿宋" w:eastAsia="仿宋" w:cs="仿宋"/>
          <w:sz w:val="28"/>
          <w:szCs w:val="28"/>
          <w:highlight w:val="none"/>
        </w:rPr>
        <w:t>分，得分率</w:t>
      </w:r>
      <w:r>
        <w:rPr>
          <w:rFonts w:hint="eastAsia" w:ascii="仿宋" w:hAnsi="仿宋" w:eastAsia="仿宋" w:cs="仿宋"/>
          <w:sz w:val="28"/>
          <w:szCs w:val="28"/>
          <w:highlight w:val="none"/>
          <w:lang w:val="en-US" w:eastAsia="zh-CN"/>
        </w:rPr>
        <w:t>71.94</w:t>
      </w:r>
      <w:r>
        <w:rPr>
          <w:rFonts w:ascii="仿宋" w:hAnsi="仿宋" w:eastAsia="仿宋" w:cs="仿宋"/>
          <w:sz w:val="28"/>
          <w:szCs w:val="28"/>
          <w:highlight w:val="none"/>
        </w:rPr>
        <w:t>%</w:t>
      </w:r>
      <w:r>
        <w:rPr>
          <w:rFonts w:hint="eastAsia" w:ascii="仿宋" w:hAnsi="仿宋" w:eastAsia="仿宋" w:cs="仿宋"/>
          <w:sz w:val="28"/>
          <w:szCs w:val="28"/>
          <w:highlight w:val="none"/>
        </w:rPr>
        <w:t>。各分项指标得分情况如下表</w:t>
      </w:r>
      <w:r>
        <w:rPr>
          <w:rFonts w:ascii="仿宋" w:hAnsi="仿宋" w:eastAsia="仿宋" w:cs="仿宋"/>
          <w:sz w:val="28"/>
          <w:szCs w:val="28"/>
          <w:highlight w:val="none"/>
        </w:rPr>
        <w:t>所示</w:t>
      </w:r>
      <w:r>
        <w:rPr>
          <w:rFonts w:hint="eastAsia" w:ascii="仿宋" w:hAnsi="仿宋" w:eastAsia="仿宋" w:cs="仿宋"/>
          <w:sz w:val="28"/>
          <w:szCs w:val="28"/>
          <w:highlight w:val="none"/>
        </w:rPr>
        <w:t>：</w:t>
      </w:r>
      <w:bookmarkEnd w:id="238"/>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ascii="仿宋" w:hAnsi="仿宋" w:eastAsia="仿宋" w:cs="仿宋"/>
          <w:b/>
          <w:sz w:val="28"/>
          <w:szCs w:val="28"/>
        </w:rPr>
      </w:pPr>
      <w:bookmarkStart w:id="239" w:name="_Toc31609"/>
      <w:r>
        <w:rPr>
          <w:rFonts w:hint="eastAsia" w:ascii="仿宋" w:hAnsi="仿宋" w:eastAsia="仿宋" w:cs="仿宋"/>
          <w:b/>
          <w:sz w:val="28"/>
          <w:szCs w:val="28"/>
        </w:rPr>
        <w:t>表</w:t>
      </w:r>
      <w:r>
        <w:rPr>
          <w:rFonts w:hint="eastAsia" w:ascii="仿宋" w:hAnsi="仿宋" w:eastAsia="仿宋" w:cs="仿宋"/>
          <w:b/>
          <w:sz w:val="28"/>
          <w:szCs w:val="28"/>
          <w:lang w:val="en-US" w:eastAsia="zh-CN"/>
        </w:rPr>
        <w:t>3</w:t>
      </w:r>
      <w:r>
        <w:rPr>
          <w:rFonts w:hint="eastAsia" w:ascii="仿宋" w:hAnsi="仿宋" w:eastAsia="仿宋" w:cs="仿宋"/>
          <w:b/>
          <w:sz w:val="28"/>
          <w:szCs w:val="28"/>
        </w:rPr>
        <w:t>-</w:t>
      </w:r>
      <w:r>
        <w:rPr>
          <w:rFonts w:hint="eastAsia" w:ascii="仿宋" w:hAnsi="仿宋" w:eastAsia="仿宋" w:cs="仿宋"/>
          <w:b/>
          <w:sz w:val="28"/>
          <w:szCs w:val="28"/>
          <w:lang w:val="en-US" w:eastAsia="zh-CN"/>
        </w:rPr>
        <w:t>5</w:t>
      </w:r>
      <w:r>
        <w:rPr>
          <w:rFonts w:ascii="仿宋" w:hAnsi="仿宋" w:eastAsia="仿宋" w:cs="仿宋"/>
          <w:b/>
          <w:sz w:val="28"/>
          <w:szCs w:val="28"/>
        </w:rPr>
        <w:t xml:space="preserve"> </w:t>
      </w:r>
      <w:r>
        <w:rPr>
          <w:rFonts w:hint="eastAsia" w:ascii="仿宋" w:hAnsi="仿宋" w:eastAsia="仿宋" w:cs="仿宋"/>
          <w:b/>
          <w:sz w:val="28"/>
          <w:szCs w:val="28"/>
          <w:lang w:eastAsia="zh-CN"/>
        </w:rPr>
        <w:t>效益</w:t>
      </w:r>
      <w:r>
        <w:rPr>
          <w:rFonts w:hint="eastAsia" w:ascii="仿宋" w:hAnsi="仿宋" w:eastAsia="仿宋" w:cs="仿宋"/>
          <w:b/>
          <w:sz w:val="28"/>
          <w:szCs w:val="28"/>
        </w:rPr>
        <w:t>类指标得分情况</w:t>
      </w:r>
      <w:bookmarkEnd w:id="239"/>
    </w:p>
    <w:tbl>
      <w:tblPr>
        <w:tblStyle w:val="15"/>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4073"/>
        <w:gridCol w:w="1198"/>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27" w:type="dxa"/>
            <w:shd w:val="clear" w:color="auto" w:fill="BEBEBE" w:themeFill="background1" w:themeFillShade="BF"/>
            <w:vAlign w:val="center"/>
          </w:tcPr>
          <w:p>
            <w:pPr>
              <w:jc w:val="center"/>
              <w:rPr>
                <w:rFonts w:ascii="仿宋" w:hAnsi="仿宋" w:eastAsia="仿宋" w:cs="仿宋"/>
                <w:b/>
                <w:bCs/>
                <w:sz w:val="24"/>
              </w:rPr>
            </w:pPr>
            <w:r>
              <w:rPr>
                <w:rFonts w:hint="eastAsia" w:ascii="仿宋" w:hAnsi="仿宋" w:eastAsia="仿宋" w:cs="仿宋"/>
                <w:b/>
                <w:bCs/>
                <w:sz w:val="24"/>
              </w:rPr>
              <w:t>二级指标</w:t>
            </w:r>
          </w:p>
        </w:tc>
        <w:tc>
          <w:tcPr>
            <w:tcW w:w="4073" w:type="dxa"/>
            <w:shd w:val="clear" w:color="auto" w:fill="BEBEBE" w:themeFill="background1" w:themeFillShade="BF"/>
            <w:vAlign w:val="center"/>
          </w:tcPr>
          <w:p>
            <w:pPr>
              <w:jc w:val="center"/>
              <w:rPr>
                <w:rFonts w:ascii="仿宋" w:hAnsi="仿宋" w:eastAsia="仿宋" w:cs="仿宋"/>
                <w:b/>
                <w:bCs/>
                <w:sz w:val="24"/>
              </w:rPr>
            </w:pPr>
            <w:r>
              <w:rPr>
                <w:rFonts w:hint="eastAsia" w:ascii="仿宋" w:hAnsi="仿宋" w:eastAsia="仿宋" w:cs="仿宋"/>
                <w:b/>
                <w:bCs/>
                <w:sz w:val="24"/>
              </w:rPr>
              <w:t>三级指标</w:t>
            </w:r>
          </w:p>
        </w:tc>
        <w:tc>
          <w:tcPr>
            <w:tcW w:w="1198" w:type="dxa"/>
            <w:shd w:val="clear" w:color="auto" w:fill="BEBEBE" w:themeFill="background1" w:themeFillShade="BF"/>
            <w:vAlign w:val="center"/>
          </w:tcPr>
          <w:p>
            <w:pPr>
              <w:jc w:val="center"/>
              <w:rPr>
                <w:rFonts w:ascii="仿宋" w:hAnsi="仿宋" w:eastAsia="仿宋" w:cs="仿宋"/>
                <w:b/>
                <w:bCs/>
                <w:sz w:val="24"/>
              </w:rPr>
            </w:pPr>
            <w:r>
              <w:rPr>
                <w:rFonts w:hint="eastAsia" w:ascii="仿宋" w:hAnsi="仿宋" w:eastAsia="仿宋" w:cs="仿宋"/>
                <w:b/>
                <w:bCs/>
                <w:sz w:val="24"/>
              </w:rPr>
              <w:t>权重</w:t>
            </w:r>
          </w:p>
        </w:tc>
        <w:tc>
          <w:tcPr>
            <w:tcW w:w="1198" w:type="dxa"/>
            <w:shd w:val="clear" w:color="auto" w:fill="BEBEBE" w:themeFill="background1" w:themeFillShade="BF"/>
            <w:vAlign w:val="center"/>
          </w:tcPr>
          <w:p>
            <w:pPr>
              <w:jc w:val="center"/>
              <w:rPr>
                <w:rFonts w:ascii="仿宋" w:hAnsi="仿宋" w:eastAsia="仿宋" w:cs="仿宋"/>
                <w:b/>
                <w:bCs/>
                <w:sz w:val="24"/>
              </w:rPr>
            </w:pPr>
            <w:r>
              <w:rPr>
                <w:rFonts w:hint="eastAsia" w:ascii="仿宋" w:hAnsi="仿宋" w:eastAsia="仿宋" w:cs="仿宋"/>
                <w:b/>
                <w:bCs/>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restart"/>
            <w:vAlign w:val="center"/>
          </w:tcPr>
          <w:p>
            <w:pPr>
              <w:jc w:val="center"/>
              <w:rPr>
                <w:rFonts w:hint="eastAsia" w:ascii="仿宋" w:hAnsi="仿宋" w:eastAsia="仿宋" w:cs="仿宋"/>
                <w:sz w:val="24"/>
                <w:lang w:val="en-US" w:eastAsia="zh-CN"/>
              </w:rPr>
            </w:pPr>
            <w:r>
              <w:rPr>
                <w:rFonts w:hint="eastAsia" w:ascii="仿宋" w:hAnsi="仿宋" w:eastAsia="仿宋" w:cs="仿宋"/>
                <w:sz w:val="24"/>
                <w:lang w:eastAsia="zh-CN"/>
              </w:rPr>
              <w:t>重点人群管理效</w:t>
            </w:r>
            <w:r>
              <w:rPr>
                <w:rFonts w:hint="eastAsia" w:ascii="仿宋" w:hAnsi="仿宋" w:eastAsia="仿宋" w:cs="仿宋"/>
                <w:sz w:val="24"/>
                <w:lang w:val="en-US" w:eastAsia="zh-CN"/>
              </w:rPr>
              <w:t xml:space="preserve">  </w:t>
            </w:r>
            <w:r>
              <w:rPr>
                <w:rFonts w:hint="eastAsia" w:ascii="仿宋" w:hAnsi="仿宋" w:eastAsia="仿宋" w:cs="仿宋"/>
                <w:sz w:val="24"/>
                <w:lang w:eastAsia="zh-CN"/>
              </w:rPr>
              <w:t>果</w:t>
            </w:r>
          </w:p>
        </w:tc>
        <w:tc>
          <w:tcPr>
            <w:tcW w:w="4073" w:type="dxa"/>
            <w:vAlign w:val="center"/>
          </w:tcPr>
          <w:p>
            <w:pPr>
              <w:rPr>
                <w:rFonts w:ascii="仿宋" w:hAnsi="仿宋" w:eastAsia="仿宋" w:cs="仿宋"/>
                <w:sz w:val="24"/>
              </w:rPr>
            </w:pPr>
            <w:r>
              <w:rPr>
                <w:rFonts w:hint="eastAsia" w:ascii="仿宋" w:hAnsi="仿宋" w:eastAsia="仿宋" w:cs="仿宋"/>
                <w:sz w:val="24"/>
              </w:rPr>
              <w:t>高血压患者血压控制率</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2.00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1.532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continue"/>
            <w:vAlign w:val="center"/>
          </w:tcPr>
          <w:p>
            <w:pPr>
              <w:rPr>
                <w:rFonts w:ascii="仿宋" w:hAnsi="仿宋" w:eastAsia="仿宋" w:cs="仿宋"/>
                <w:sz w:val="24"/>
              </w:rPr>
            </w:pPr>
          </w:p>
        </w:tc>
        <w:tc>
          <w:tcPr>
            <w:tcW w:w="4073" w:type="dxa"/>
            <w:vAlign w:val="center"/>
          </w:tcPr>
          <w:p>
            <w:pPr>
              <w:rPr>
                <w:rFonts w:ascii="仿宋" w:hAnsi="仿宋" w:eastAsia="仿宋" w:cs="仿宋"/>
                <w:sz w:val="24"/>
              </w:rPr>
            </w:pPr>
            <w:r>
              <w:rPr>
                <w:rFonts w:hint="eastAsia" w:ascii="仿宋" w:hAnsi="仿宋" w:eastAsia="仿宋" w:cs="仿宋"/>
                <w:sz w:val="24"/>
                <w:lang w:val="en-US" w:eastAsia="zh-CN"/>
              </w:rPr>
              <w:t>2型</w:t>
            </w:r>
            <w:r>
              <w:rPr>
                <w:rFonts w:hint="eastAsia" w:ascii="仿宋" w:hAnsi="仿宋" w:eastAsia="仿宋" w:cs="仿宋"/>
                <w:sz w:val="24"/>
              </w:rPr>
              <w:t>糖尿病患者血糖控制率</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2.00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1.532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continue"/>
            <w:vAlign w:val="center"/>
          </w:tcPr>
          <w:p>
            <w:pPr>
              <w:rPr>
                <w:rFonts w:ascii="仿宋" w:hAnsi="仿宋" w:eastAsia="仿宋" w:cs="仿宋"/>
                <w:sz w:val="24"/>
              </w:rPr>
            </w:pPr>
          </w:p>
        </w:tc>
        <w:tc>
          <w:tcPr>
            <w:tcW w:w="4073" w:type="dxa"/>
            <w:vAlign w:val="center"/>
          </w:tcPr>
          <w:p>
            <w:pPr>
              <w:jc w:val="left"/>
              <w:rPr>
                <w:rFonts w:hint="default" w:ascii="仿宋" w:hAnsi="仿宋" w:eastAsia="仿宋" w:cs="仿宋"/>
                <w:sz w:val="24"/>
                <w:lang w:val="en-US" w:eastAsia="zh-CN"/>
              </w:rPr>
            </w:pPr>
            <w:r>
              <w:rPr>
                <w:rFonts w:hint="eastAsia" w:ascii="仿宋" w:hAnsi="仿宋" w:eastAsia="仿宋" w:cs="仿宋"/>
                <w:sz w:val="24"/>
                <w:lang w:val="en-US" w:eastAsia="zh-CN"/>
              </w:rPr>
              <w:t>老、妇、幼健康水平提升</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2.00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continue"/>
            <w:vAlign w:val="center"/>
          </w:tcPr>
          <w:p>
            <w:pPr>
              <w:rPr>
                <w:rFonts w:ascii="仿宋" w:hAnsi="仿宋" w:eastAsia="仿宋" w:cs="仿宋"/>
                <w:sz w:val="24"/>
              </w:rPr>
            </w:pPr>
          </w:p>
        </w:tc>
        <w:tc>
          <w:tcPr>
            <w:tcW w:w="4073" w:type="dxa"/>
            <w:vAlign w:val="center"/>
          </w:tcPr>
          <w:p>
            <w:pPr>
              <w:jc w:val="center"/>
              <w:rPr>
                <w:rFonts w:ascii="仿宋" w:hAnsi="仿宋" w:eastAsia="仿宋" w:cs="仿宋"/>
                <w:sz w:val="24"/>
              </w:rPr>
            </w:pPr>
            <w:r>
              <w:rPr>
                <w:rFonts w:hint="eastAsia" w:ascii="仿宋" w:hAnsi="仿宋" w:eastAsia="仿宋" w:cs="仿宋"/>
                <w:sz w:val="24"/>
              </w:rPr>
              <w:t>小</w:t>
            </w:r>
            <w:r>
              <w:rPr>
                <w:rFonts w:hint="eastAsia" w:ascii="仿宋" w:hAnsi="仿宋" w:eastAsia="仿宋" w:cs="仿宋"/>
                <w:sz w:val="24"/>
                <w:lang w:val="en-US" w:eastAsia="zh-CN"/>
              </w:rPr>
              <w:t xml:space="preserve">  </w:t>
            </w:r>
            <w:r>
              <w:rPr>
                <w:rFonts w:hint="eastAsia" w:ascii="仿宋" w:hAnsi="仿宋" w:eastAsia="仿宋" w:cs="仿宋"/>
                <w:sz w:val="24"/>
              </w:rPr>
              <w:t>计</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6.00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5.064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restart"/>
            <w:vAlign w:val="center"/>
          </w:tcPr>
          <w:p>
            <w:pPr>
              <w:jc w:val="center"/>
              <w:rPr>
                <w:rFonts w:ascii="仿宋" w:hAnsi="仿宋" w:eastAsia="仿宋" w:cs="仿宋"/>
                <w:sz w:val="24"/>
              </w:rPr>
            </w:pPr>
            <w:r>
              <w:rPr>
                <w:rFonts w:hint="eastAsia" w:ascii="仿宋" w:hAnsi="仿宋" w:eastAsia="仿宋" w:cs="仿宋"/>
                <w:sz w:val="24"/>
              </w:rPr>
              <w:t>社会效益</w:t>
            </w:r>
          </w:p>
        </w:tc>
        <w:tc>
          <w:tcPr>
            <w:tcW w:w="4073" w:type="dxa"/>
            <w:vAlign w:val="center"/>
          </w:tcPr>
          <w:p>
            <w:pPr>
              <w:rPr>
                <w:rFonts w:hint="default" w:ascii="仿宋" w:hAnsi="仿宋" w:eastAsia="仿宋" w:cs="仿宋"/>
                <w:sz w:val="24"/>
                <w:lang w:val="en-US" w:eastAsia="zh-CN"/>
              </w:rPr>
            </w:pPr>
            <w:r>
              <w:rPr>
                <w:rFonts w:hint="eastAsia" w:ascii="仿宋" w:hAnsi="仿宋" w:eastAsia="仿宋" w:cs="仿宋"/>
                <w:sz w:val="24"/>
                <w:lang w:val="en-US" w:eastAsia="zh-CN"/>
              </w:rPr>
              <w:t>目标群体覆盖范围增长</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3.00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continue"/>
            <w:vAlign w:val="center"/>
          </w:tcPr>
          <w:p>
            <w:pPr>
              <w:rPr>
                <w:rFonts w:ascii="仿宋" w:hAnsi="仿宋" w:eastAsia="仿宋" w:cs="仿宋"/>
                <w:sz w:val="24"/>
              </w:rPr>
            </w:pPr>
          </w:p>
        </w:tc>
        <w:tc>
          <w:tcPr>
            <w:tcW w:w="4073" w:type="dxa"/>
            <w:vAlign w:val="center"/>
          </w:tcPr>
          <w:p>
            <w:pPr>
              <w:rPr>
                <w:rFonts w:ascii="仿宋" w:hAnsi="仿宋" w:eastAsia="仿宋" w:cs="仿宋"/>
                <w:sz w:val="24"/>
              </w:rPr>
            </w:pPr>
            <w:r>
              <w:rPr>
                <w:rFonts w:hint="eastAsia" w:ascii="仿宋" w:hAnsi="仿宋" w:eastAsia="仿宋" w:cs="仿宋"/>
                <w:sz w:val="24"/>
              </w:rPr>
              <w:t>居民健康管理意识提高</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3.00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continue"/>
            <w:vAlign w:val="center"/>
          </w:tcPr>
          <w:p>
            <w:pPr>
              <w:rPr>
                <w:rFonts w:ascii="仿宋" w:hAnsi="仿宋" w:eastAsia="仿宋" w:cs="仿宋"/>
                <w:sz w:val="24"/>
              </w:rPr>
            </w:pPr>
          </w:p>
        </w:tc>
        <w:tc>
          <w:tcPr>
            <w:tcW w:w="4073" w:type="dxa"/>
            <w:vAlign w:val="center"/>
          </w:tcPr>
          <w:p>
            <w:pPr>
              <w:jc w:val="center"/>
              <w:rPr>
                <w:rFonts w:ascii="仿宋" w:hAnsi="仿宋" w:eastAsia="仿宋" w:cs="仿宋"/>
                <w:sz w:val="24"/>
              </w:rPr>
            </w:pPr>
            <w:r>
              <w:rPr>
                <w:rFonts w:hint="eastAsia" w:ascii="仿宋" w:hAnsi="仿宋" w:eastAsia="仿宋" w:cs="仿宋"/>
                <w:sz w:val="24"/>
              </w:rPr>
              <w:t>小</w:t>
            </w:r>
            <w:r>
              <w:rPr>
                <w:rFonts w:hint="eastAsia" w:ascii="仿宋" w:hAnsi="仿宋" w:eastAsia="仿宋" w:cs="仿宋"/>
                <w:sz w:val="24"/>
                <w:lang w:val="en-US" w:eastAsia="zh-CN"/>
              </w:rPr>
              <w:t xml:space="preserve">  </w:t>
            </w:r>
            <w:r>
              <w:rPr>
                <w:rFonts w:hint="eastAsia" w:ascii="仿宋" w:hAnsi="仿宋" w:eastAsia="仿宋" w:cs="仿宋"/>
                <w:sz w:val="24"/>
              </w:rPr>
              <w:t>计</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6.00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restart"/>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可持续影响</w:t>
            </w:r>
          </w:p>
        </w:tc>
        <w:tc>
          <w:tcPr>
            <w:tcW w:w="4073" w:type="dxa"/>
            <w:vAlign w:val="center"/>
          </w:tcPr>
          <w:p>
            <w:pPr>
              <w:rPr>
                <w:rFonts w:hint="default" w:ascii="仿宋" w:hAnsi="仿宋" w:eastAsia="仿宋" w:cs="仿宋"/>
                <w:sz w:val="24"/>
                <w:lang w:val="en-US" w:eastAsia="zh-CN"/>
              </w:rPr>
            </w:pPr>
            <w:r>
              <w:rPr>
                <w:rFonts w:hint="eastAsia" w:ascii="仿宋" w:hAnsi="仿宋" w:eastAsia="仿宋" w:cs="仿宋"/>
                <w:sz w:val="24"/>
                <w:lang w:val="en-US" w:eastAsia="zh-CN"/>
              </w:rPr>
              <w:t>专业服务水平提升</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3.00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continue"/>
            <w:vAlign w:val="center"/>
          </w:tcPr>
          <w:p>
            <w:pPr>
              <w:rPr>
                <w:rFonts w:ascii="仿宋" w:hAnsi="仿宋" w:eastAsia="仿宋" w:cs="仿宋"/>
                <w:sz w:val="24"/>
              </w:rPr>
            </w:pPr>
          </w:p>
        </w:tc>
        <w:tc>
          <w:tcPr>
            <w:tcW w:w="4073" w:type="dxa"/>
            <w:vAlign w:val="center"/>
          </w:tcPr>
          <w:p>
            <w:pPr>
              <w:rPr>
                <w:rFonts w:hint="default" w:ascii="仿宋" w:hAnsi="仿宋" w:eastAsia="仿宋" w:cs="仿宋"/>
                <w:sz w:val="24"/>
                <w:lang w:val="en-US" w:eastAsia="zh-CN"/>
              </w:rPr>
            </w:pPr>
            <w:r>
              <w:rPr>
                <w:rFonts w:hint="eastAsia" w:ascii="仿宋" w:hAnsi="仿宋" w:eastAsia="仿宋" w:cs="仿宋"/>
                <w:sz w:val="24"/>
                <w:lang w:val="en-US" w:eastAsia="zh-CN"/>
              </w:rPr>
              <w:t>政策宣传持续性</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3.00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continue"/>
            <w:vAlign w:val="center"/>
          </w:tcPr>
          <w:p>
            <w:pPr>
              <w:rPr>
                <w:rFonts w:ascii="仿宋" w:hAnsi="仿宋" w:eastAsia="仿宋" w:cs="仿宋"/>
                <w:sz w:val="24"/>
              </w:rPr>
            </w:pPr>
          </w:p>
        </w:tc>
        <w:tc>
          <w:tcPr>
            <w:tcW w:w="4073"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小   计</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6.00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restart"/>
            <w:vAlign w:val="center"/>
          </w:tcPr>
          <w:p>
            <w:pPr>
              <w:jc w:val="center"/>
              <w:rPr>
                <w:rFonts w:hint="eastAsia" w:ascii="仿宋" w:hAnsi="仿宋" w:eastAsia="仿宋" w:cs="仿宋"/>
                <w:sz w:val="24"/>
                <w:lang w:val="en-US" w:eastAsia="zh-CN"/>
              </w:rPr>
            </w:pPr>
            <w:r>
              <w:rPr>
                <w:rFonts w:hint="eastAsia" w:ascii="仿宋" w:hAnsi="仿宋" w:eastAsia="仿宋" w:cs="仿宋"/>
                <w:sz w:val="24"/>
                <w:lang w:val="en-US" w:eastAsia="zh-CN"/>
              </w:rPr>
              <w:t>社会公众</w:t>
            </w:r>
          </w:p>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满意度</w:t>
            </w:r>
          </w:p>
        </w:tc>
        <w:tc>
          <w:tcPr>
            <w:tcW w:w="4073" w:type="dxa"/>
            <w:vAlign w:val="center"/>
          </w:tcPr>
          <w:p>
            <w:pPr>
              <w:rPr>
                <w:rFonts w:hint="eastAsia" w:ascii="仿宋" w:hAnsi="仿宋" w:eastAsia="仿宋" w:cs="仿宋"/>
                <w:sz w:val="24"/>
              </w:rPr>
            </w:pPr>
            <w:r>
              <w:rPr>
                <w:rFonts w:hint="eastAsia" w:ascii="仿宋" w:hAnsi="仿宋" w:eastAsia="仿宋" w:cs="仿宋"/>
                <w:sz w:val="24"/>
                <w:lang w:eastAsia="zh-CN"/>
              </w:rPr>
              <w:t>居民综合满意度</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6.00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continue"/>
            <w:vAlign w:val="center"/>
          </w:tcPr>
          <w:p>
            <w:pPr>
              <w:rPr>
                <w:rFonts w:ascii="仿宋" w:hAnsi="仿宋" w:eastAsia="仿宋" w:cs="仿宋"/>
                <w:sz w:val="24"/>
              </w:rPr>
            </w:pPr>
          </w:p>
        </w:tc>
        <w:tc>
          <w:tcPr>
            <w:tcW w:w="4073" w:type="dxa"/>
            <w:vAlign w:val="center"/>
          </w:tcPr>
          <w:p>
            <w:pPr>
              <w:rPr>
                <w:rFonts w:hint="eastAsia" w:ascii="仿宋" w:hAnsi="仿宋" w:eastAsia="仿宋" w:cs="仿宋"/>
                <w:sz w:val="24"/>
              </w:rPr>
            </w:pPr>
            <w:r>
              <w:rPr>
                <w:rFonts w:hint="eastAsia" w:ascii="仿宋" w:hAnsi="仿宋" w:eastAsia="仿宋" w:cs="仿宋"/>
                <w:sz w:val="24"/>
                <w:lang w:eastAsia="zh-CN"/>
              </w:rPr>
              <w:t>基层医务人员满意度</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4.00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Merge w:val="continue"/>
            <w:vAlign w:val="center"/>
          </w:tcPr>
          <w:p>
            <w:pPr>
              <w:rPr>
                <w:rFonts w:ascii="仿宋" w:hAnsi="仿宋" w:eastAsia="仿宋" w:cs="仿宋"/>
                <w:sz w:val="24"/>
              </w:rPr>
            </w:pPr>
          </w:p>
        </w:tc>
        <w:tc>
          <w:tcPr>
            <w:tcW w:w="4073"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小   计</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10.00</w:t>
            </w:r>
          </w:p>
        </w:tc>
        <w:tc>
          <w:tcPr>
            <w:tcW w:w="1198"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7" w:type="dxa"/>
            <w:vAlign w:val="center"/>
          </w:tcPr>
          <w:p>
            <w:pPr>
              <w:jc w:val="center"/>
              <w:rPr>
                <w:rFonts w:hint="default" w:ascii="仿宋" w:hAnsi="仿宋" w:eastAsia="仿宋" w:cs="仿宋"/>
                <w:b/>
                <w:sz w:val="24"/>
                <w:lang w:val="en-US" w:eastAsia="zh-CN"/>
              </w:rPr>
            </w:pPr>
            <w:r>
              <w:rPr>
                <w:rFonts w:hint="eastAsia" w:ascii="仿宋" w:hAnsi="仿宋" w:eastAsia="仿宋" w:cs="仿宋"/>
                <w:b/>
                <w:sz w:val="24"/>
                <w:lang w:val="en-US" w:eastAsia="zh-CN"/>
              </w:rPr>
              <w:t>效     果</w:t>
            </w:r>
          </w:p>
        </w:tc>
        <w:tc>
          <w:tcPr>
            <w:tcW w:w="4073" w:type="dxa"/>
            <w:vAlign w:val="center"/>
          </w:tcPr>
          <w:p>
            <w:pPr>
              <w:jc w:val="center"/>
              <w:rPr>
                <w:rFonts w:ascii="仿宋" w:hAnsi="仿宋" w:eastAsia="仿宋" w:cs="仿宋"/>
                <w:b/>
                <w:sz w:val="24"/>
              </w:rPr>
            </w:pPr>
            <w:r>
              <w:rPr>
                <w:rFonts w:hint="eastAsia" w:ascii="仿宋" w:hAnsi="仿宋" w:eastAsia="仿宋" w:cs="仿宋"/>
                <w:b/>
                <w:sz w:val="24"/>
              </w:rPr>
              <w:t>合</w:t>
            </w:r>
            <w:r>
              <w:rPr>
                <w:rFonts w:hint="eastAsia" w:ascii="仿宋" w:hAnsi="仿宋" w:eastAsia="仿宋" w:cs="仿宋"/>
                <w:b/>
                <w:sz w:val="24"/>
                <w:lang w:val="en-US" w:eastAsia="zh-CN"/>
              </w:rPr>
              <w:t xml:space="preserve">  </w:t>
            </w:r>
            <w:r>
              <w:rPr>
                <w:rFonts w:hint="eastAsia" w:ascii="仿宋" w:hAnsi="仿宋" w:eastAsia="仿宋" w:cs="仿宋"/>
                <w:b/>
                <w:sz w:val="24"/>
              </w:rPr>
              <w:t>计</w:t>
            </w:r>
          </w:p>
        </w:tc>
        <w:tc>
          <w:tcPr>
            <w:tcW w:w="1198" w:type="dxa"/>
            <w:vAlign w:val="center"/>
          </w:tcPr>
          <w:p>
            <w:pPr>
              <w:jc w:val="center"/>
              <w:rPr>
                <w:rFonts w:ascii="仿宋" w:hAnsi="仿宋" w:eastAsia="仿宋" w:cs="仿宋"/>
                <w:b/>
                <w:sz w:val="24"/>
              </w:rPr>
            </w:pPr>
            <w:r>
              <w:rPr>
                <w:rFonts w:hint="eastAsia" w:ascii="仿宋" w:hAnsi="仿宋" w:eastAsia="仿宋" w:cs="仿宋"/>
                <w:b/>
                <w:sz w:val="24"/>
                <w:lang w:val="en-US" w:eastAsia="zh-CN"/>
              </w:rPr>
              <w:t>28</w:t>
            </w:r>
            <w:r>
              <w:rPr>
                <w:rFonts w:ascii="仿宋" w:hAnsi="仿宋" w:eastAsia="仿宋" w:cs="仿宋"/>
                <w:b/>
                <w:sz w:val="24"/>
              </w:rPr>
              <w:t>.00</w:t>
            </w:r>
          </w:p>
        </w:tc>
        <w:tc>
          <w:tcPr>
            <w:tcW w:w="1198" w:type="dxa"/>
            <w:vAlign w:val="center"/>
          </w:tcPr>
          <w:p>
            <w:pPr>
              <w:jc w:val="center"/>
              <w:rPr>
                <w:rFonts w:hint="default" w:ascii="仿宋" w:hAnsi="仿宋" w:eastAsia="仿宋" w:cs="仿宋"/>
                <w:b/>
                <w:sz w:val="24"/>
                <w:lang w:val="en-US" w:eastAsia="zh-CN"/>
              </w:rPr>
            </w:pPr>
            <w:r>
              <w:rPr>
                <w:rFonts w:hint="eastAsia" w:ascii="仿宋" w:hAnsi="仿宋" w:eastAsia="仿宋" w:cs="仿宋"/>
                <w:b/>
                <w:sz w:val="24"/>
                <w:lang w:val="en-US" w:eastAsia="zh-CN"/>
              </w:rPr>
              <w:t>20.144</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bookmarkStart w:id="240" w:name="_Toc12056"/>
      <w:r>
        <w:rPr>
          <w:rFonts w:hint="eastAsia" w:ascii="仿宋" w:hAnsi="仿宋" w:eastAsia="仿宋" w:cs="仿宋"/>
          <w:b/>
          <w:bCs w:val="0"/>
          <w:kern w:val="2"/>
          <w:sz w:val="28"/>
          <w:szCs w:val="28"/>
          <w:highlight w:val="none"/>
          <w:lang w:val="en-US" w:eastAsia="zh-CN" w:bidi="ar-SA"/>
        </w:rPr>
        <w:t>1.重点人群管理效果，权重6分，得分5.064分</w:t>
      </w:r>
      <w:bookmarkEnd w:id="24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bookmarkStart w:id="241" w:name="_Toc29337"/>
      <w:r>
        <w:rPr>
          <w:rFonts w:hint="eastAsia" w:ascii="仿宋" w:hAnsi="仿宋" w:eastAsia="仿宋" w:cs="仿宋"/>
          <w:b/>
          <w:bCs w:val="0"/>
          <w:kern w:val="2"/>
          <w:sz w:val="28"/>
          <w:szCs w:val="28"/>
          <w:highlight w:val="none"/>
          <w:lang w:val="en-US" w:eastAsia="zh-CN" w:bidi="ar-SA"/>
        </w:rPr>
        <w:t>（1）</w:t>
      </w:r>
      <w:r>
        <w:rPr>
          <w:rFonts w:hint="default" w:ascii="仿宋" w:hAnsi="仿宋" w:eastAsia="仿宋" w:cs="仿宋"/>
          <w:b/>
          <w:bCs w:val="0"/>
          <w:kern w:val="2"/>
          <w:sz w:val="28"/>
          <w:szCs w:val="28"/>
          <w:highlight w:val="none"/>
          <w:lang w:val="en-US" w:eastAsia="zh-CN" w:bidi="ar-SA"/>
        </w:rPr>
        <w:t>高血压患者</w:t>
      </w:r>
      <w:r>
        <w:rPr>
          <w:rFonts w:hint="eastAsia" w:ascii="仿宋" w:hAnsi="仿宋" w:eastAsia="仿宋" w:cs="仿宋"/>
          <w:b/>
          <w:bCs w:val="0"/>
          <w:kern w:val="2"/>
          <w:sz w:val="28"/>
          <w:szCs w:val="28"/>
          <w:highlight w:val="none"/>
          <w:lang w:val="en-US" w:eastAsia="zh-CN" w:bidi="ar-SA"/>
        </w:rPr>
        <w:t>血压控制率</w:t>
      </w:r>
      <w:bookmarkEnd w:id="24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bookmarkStart w:id="242" w:name="_Toc24926"/>
      <w:r>
        <w:rPr>
          <w:rFonts w:hint="eastAsia" w:ascii="仿宋" w:hAnsi="仿宋" w:eastAsia="仿宋" w:cs="仿宋"/>
          <w:b w:val="0"/>
          <w:bCs/>
          <w:kern w:val="2"/>
          <w:sz w:val="28"/>
          <w:szCs w:val="28"/>
          <w:highlight w:val="none"/>
          <w:lang w:val="en-US" w:eastAsia="zh-CN" w:bidi="ar-SA"/>
        </w:rPr>
        <w:t>2020年度临猗县管理的高血压患者人数42367人，最近一次随访血压达标人数为30915人，</w:t>
      </w:r>
      <w:r>
        <w:rPr>
          <w:rFonts w:hint="default" w:ascii="仿宋" w:hAnsi="仿宋" w:eastAsia="仿宋" w:cs="仿宋"/>
          <w:b w:val="0"/>
          <w:bCs/>
          <w:kern w:val="2"/>
          <w:sz w:val="28"/>
          <w:szCs w:val="28"/>
          <w:highlight w:val="none"/>
          <w:lang w:val="en-US" w:eastAsia="zh-CN" w:bidi="ar-SA"/>
        </w:rPr>
        <w:t>高血压患者</w:t>
      </w:r>
      <w:r>
        <w:rPr>
          <w:rFonts w:hint="eastAsia" w:ascii="仿宋" w:hAnsi="仿宋" w:eastAsia="仿宋" w:cs="仿宋"/>
          <w:b w:val="0"/>
          <w:bCs/>
          <w:kern w:val="2"/>
          <w:sz w:val="28"/>
          <w:szCs w:val="28"/>
          <w:highlight w:val="none"/>
          <w:lang w:val="en-US" w:eastAsia="zh-CN" w:bidi="ar-SA"/>
        </w:rPr>
        <w:t>血压控制率72.97%。</w:t>
      </w:r>
      <w:bookmarkEnd w:id="24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bookmarkStart w:id="243" w:name="_Toc27753"/>
      <w:r>
        <w:rPr>
          <w:rFonts w:hint="eastAsia" w:ascii="仿宋" w:hAnsi="仿宋" w:eastAsia="仿宋" w:cs="仿宋"/>
          <w:b w:val="0"/>
          <w:bCs/>
          <w:kern w:val="2"/>
          <w:sz w:val="28"/>
          <w:szCs w:val="28"/>
          <w:highlight w:val="none"/>
          <w:lang w:val="en-US" w:eastAsia="zh-CN" w:bidi="ar-SA"/>
        </w:rPr>
        <w:t>现场评价时，通过电话回访服务对象、下村调查，以及查看临猗县卫健委2020年基本公卫项目绩效评价报告等工作，发现中医院高血压患者管理面访率较低、有三个村庄的高血压患者管理工作未开展，最近一次随访血压达标人数大于规范管理人数等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lang w:val="en-US" w:eastAsia="zh-CN"/>
        </w:rPr>
      </w:pPr>
      <w:r>
        <w:rPr>
          <w:rFonts w:hint="eastAsia" w:ascii="仿宋" w:hAnsi="仿宋" w:eastAsia="仿宋" w:cs="仿宋"/>
          <w:b w:val="0"/>
          <w:bCs/>
          <w:kern w:val="2"/>
          <w:sz w:val="28"/>
          <w:szCs w:val="28"/>
          <w:highlight w:val="none"/>
          <w:lang w:val="en-US" w:eastAsia="zh-CN" w:bidi="ar-SA"/>
        </w:rPr>
        <w:t>评价人员抽查了5家基层医疗卫生机构对本指标进行评价，经加权平均计算后，本指标权重2分，得分1.532分。</w:t>
      </w:r>
      <w:bookmarkEnd w:id="24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bookmarkStart w:id="244" w:name="_Toc31653"/>
      <w:r>
        <w:rPr>
          <w:rFonts w:hint="eastAsia" w:ascii="仿宋" w:hAnsi="仿宋" w:eastAsia="仿宋" w:cs="仿宋"/>
          <w:b/>
          <w:bCs w:val="0"/>
          <w:kern w:val="2"/>
          <w:sz w:val="28"/>
          <w:szCs w:val="28"/>
          <w:highlight w:val="none"/>
          <w:lang w:val="en-US" w:eastAsia="zh-CN" w:bidi="ar-SA"/>
        </w:rPr>
        <w:t>（2)</w:t>
      </w:r>
      <w:r>
        <w:rPr>
          <w:rFonts w:hint="default" w:ascii="仿宋" w:hAnsi="仿宋" w:eastAsia="仿宋" w:cs="仿宋"/>
          <w:b/>
          <w:bCs w:val="0"/>
          <w:kern w:val="2"/>
          <w:sz w:val="28"/>
          <w:szCs w:val="28"/>
          <w:highlight w:val="none"/>
          <w:lang w:val="en-US" w:eastAsia="zh-CN" w:bidi="ar-SA"/>
        </w:rPr>
        <w:t>2型糖尿病患者血糖控制率</w:t>
      </w:r>
      <w:bookmarkEnd w:id="24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245" w:name="_Toc22915"/>
      <w:r>
        <w:rPr>
          <w:rFonts w:hint="eastAsia" w:ascii="仿宋" w:hAnsi="仿宋" w:eastAsia="仿宋" w:cs="仿宋"/>
          <w:b w:val="0"/>
          <w:bCs/>
          <w:kern w:val="2"/>
          <w:sz w:val="28"/>
          <w:szCs w:val="28"/>
          <w:highlight w:val="none"/>
          <w:lang w:val="en-US" w:eastAsia="zh-CN" w:bidi="ar-SA"/>
        </w:rPr>
        <w:t>2020年度临猗县管理</w:t>
      </w:r>
      <w:r>
        <w:rPr>
          <w:rFonts w:hint="default" w:ascii="仿宋" w:hAnsi="仿宋" w:eastAsia="仿宋" w:cs="仿宋"/>
          <w:b w:val="0"/>
          <w:bCs/>
          <w:kern w:val="2"/>
          <w:sz w:val="28"/>
          <w:szCs w:val="28"/>
          <w:highlight w:val="none"/>
          <w:lang w:val="en-US" w:eastAsia="zh-CN" w:bidi="ar-SA"/>
        </w:rPr>
        <w:t>2型糖尿病患者</w:t>
      </w:r>
      <w:r>
        <w:rPr>
          <w:rFonts w:hint="eastAsia" w:ascii="仿宋" w:hAnsi="仿宋" w:eastAsia="仿宋" w:cs="仿宋"/>
          <w:b w:val="0"/>
          <w:bCs/>
          <w:kern w:val="2"/>
          <w:sz w:val="28"/>
          <w:szCs w:val="28"/>
          <w:highlight w:val="none"/>
          <w:lang w:val="en-US" w:eastAsia="zh-CN" w:bidi="ar-SA"/>
        </w:rPr>
        <w:t>人数为10562人，最近一次随访血糖达标人数为7239人，</w:t>
      </w:r>
      <w:r>
        <w:rPr>
          <w:rFonts w:hint="default" w:ascii="仿宋" w:hAnsi="仿宋" w:eastAsia="仿宋" w:cs="仿宋"/>
          <w:b w:val="0"/>
          <w:bCs/>
          <w:kern w:val="2"/>
          <w:sz w:val="28"/>
          <w:szCs w:val="28"/>
          <w:highlight w:val="none"/>
          <w:lang w:val="en-US" w:eastAsia="zh-CN" w:bidi="ar-SA"/>
        </w:rPr>
        <w:t>2型糖尿病患者血糖控制率</w:t>
      </w:r>
      <w:r>
        <w:rPr>
          <w:rFonts w:hint="eastAsia" w:ascii="仿宋" w:hAnsi="仿宋" w:eastAsia="仿宋" w:cs="仿宋"/>
          <w:b w:val="0"/>
          <w:bCs/>
          <w:kern w:val="2"/>
          <w:sz w:val="28"/>
          <w:szCs w:val="28"/>
          <w:highlight w:val="none"/>
          <w:lang w:val="en-US" w:eastAsia="zh-CN" w:bidi="ar-SA"/>
        </w:rPr>
        <w:t>为68.54%。</w:t>
      </w:r>
      <w:bookmarkEnd w:id="24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现场评价时，通过电话回访服务对象、下村调查，以及查看临猗县卫健委2020年基本公卫项目绩效评价报告等工作，发现个别机构糖尿病患者随访记录不实、中医院面访率较低、有三个村庄的</w:t>
      </w:r>
      <w:r>
        <w:rPr>
          <w:rFonts w:hint="default" w:ascii="仿宋" w:hAnsi="仿宋" w:eastAsia="仿宋" w:cs="仿宋"/>
          <w:b w:val="0"/>
          <w:bCs/>
          <w:kern w:val="2"/>
          <w:sz w:val="28"/>
          <w:szCs w:val="28"/>
          <w:highlight w:val="none"/>
          <w:lang w:val="en-US" w:eastAsia="zh-CN" w:bidi="ar-SA"/>
        </w:rPr>
        <w:t>糖尿病</w:t>
      </w:r>
      <w:r>
        <w:rPr>
          <w:rFonts w:hint="eastAsia" w:ascii="仿宋" w:hAnsi="仿宋" w:eastAsia="仿宋" w:cs="仿宋"/>
          <w:b w:val="0"/>
          <w:bCs/>
          <w:kern w:val="2"/>
          <w:sz w:val="28"/>
          <w:szCs w:val="28"/>
          <w:highlight w:val="none"/>
          <w:lang w:val="en-US" w:eastAsia="zh-CN" w:bidi="ar-SA"/>
        </w:rPr>
        <w:t>患者管理工作未开展，最近一次随访血糖达标人数大于规范管理人数等情况。</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lang w:val="en-US" w:eastAsia="zh-CN"/>
        </w:rPr>
      </w:pPr>
      <w:r>
        <w:rPr>
          <w:rFonts w:hint="eastAsia" w:ascii="仿宋" w:hAnsi="仿宋" w:eastAsia="仿宋" w:cs="仿宋"/>
          <w:b w:val="0"/>
          <w:bCs/>
          <w:kern w:val="2"/>
          <w:sz w:val="28"/>
          <w:szCs w:val="28"/>
          <w:highlight w:val="none"/>
          <w:lang w:val="en-US" w:eastAsia="zh-CN" w:bidi="ar-SA"/>
        </w:rPr>
        <w:t>评价人员抽查了5家基层医疗卫生机构对本指标进行评价，经加权平均计算后，本指标权重2分，得分1.532分。</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2" w:firstLineChars="200"/>
        <w:textAlignment w:val="auto"/>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（3）老、妇、幼健康水平提升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246" w:name="_Toc1828"/>
      <w:r>
        <w:rPr>
          <w:rFonts w:hint="eastAsia" w:ascii="仿宋" w:hAnsi="仿宋" w:eastAsia="仿宋" w:cs="仿宋"/>
          <w:b w:val="0"/>
          <w:bCs/>
          <w:kern w:val="2"/>
          <w:sz w:val="28"/>
          <w:szCs w:val="28"/>
          <w:highlight w:val="none"/>
          <w:lang w:val="en-US" w:eastAsia="zh-CN" w:bidi="ar-SA"/>
        </w:rPr>
        <w:t>随着老龄化程度不断加深，老年人的健康服务成为了党和政府最为关注的领域之一。老年人是健康状况最令人担忧、医疗费用耗费最多的弱势群体，为了提升老年人的生活及生命质量，国家基本公共卫生服务项目为辖区内65岁及以上老年人每年提供一次健康管理服务和中医药健康管理服务，同时对患有高血压和2型糖尿病的老年人进行健康跟踪管理，具体内容包括：体格检查、生活方式和健康状态评估、辅助检查和中医药保健指导、高血压和2型糖尿病的随访及干预等健康管理服务，通过这些服务项目的落实，达到了老年人疾病早发现、早干预、早治疗的目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各基层机构在体检结束后，还会对辖区老年人常见病、多发病做出预警分析，通过体检结果反馈指导老年人通过改变生活方式降低健康风险，维护老年人生活自理能力，延缓疾病发生发展，降低失能率、伤残率、死亡率，提高生活质量。</w:t>
      </w:r>
    </w:p>
    <w:p>
      <w:pPr>
        <w:pStyle w:val="2"/>
        <w:keepNext w:val="0"/>
        <w:keepLines w:val="0"/>
        <w:pageBreakBefore w:val="0"/>
        <w:widowControl w:val="0"/>
        <w:kinsoku/>
        <w:wordWrap/>
        <w:overflowPunct/>
        <w:topLinePunct w:val="0"/>
        <w:autoSpaceDE/>
        <w:autoSpaceDN/>
        <w:bidi w:val="0"/>
        <w:adjustRightInd/>
        <w:snapToGrid/>
        <w:spacing w:after="0"/>
        <w:ind w:firstLine="560"/>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妇幼健康是全民健康的基础，保护妇女儿童健康权益，促进妇女儿童全面发展，有助于从源头和基础上提高国民健康水平。基本公共卫生项目中涉及妇女儿童的管理项目包括：0-6岁儿童和孕产妇的健康管理、免费孕前优生健康检查、增补叶酸、农村妇女“两癌”检查、基本避孕服务、中医药健康管理和预防接种服务等，这些项目的实施对于提高出生人口素质、减少出生缺陷、早期发现和治疗新生儿疾病、保障母婴安全、关怀妇女健康撑起了“保护伞”，有效提高和保障了妇女儿童的健康水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lang w:val="en-US" w:eastAsia="zh-CN"/>
        </w:rPr>
      </w:pPr>
      <w:r>
        <w:rPr>
          <w:rFonts w:hint="eastAsia" w:ascii="仿宋" w:hAnsi="仿宋" w:eastAsia="仿宋" w:cs="仿宋"/>
          <w:b w:val="0"/>
          <w:bCs/>
          <w:kern w:val="2"/>
          <w:sz w:val="28"/>
          <w:szCs w:val="28"/>
          <w:highlight w:val="none"/>
          <w:lang w:val="en-US" w:eastAsia="zh-CN" w:bidi="ar-SA"/>
        </w:rPr>
        <w:t>评价人员抽查了5家基层医疗卫生机构对本指标进行评价，经加权平均计算后，本指标权重</w:t>
      </w:r>
      <w:bookmarkEnd w:id="246"/>
      <w:r>
        <w:rPr>
          <w:rFonts w:hint="eastAsia" w:ascii="仿宋" w:hAnsi="仿宋" w:eastAsia="仿宋" w:cs="仿宋"/>
          <w:b w:val="0"/>
          <w:bCs/>
          <w:kern w:val="2"/>
          <w:sz w:val="28"/>
          <w:szCs w:val="28"/>
          <w:highlight w:val="none"/>
          <w:lang w:val="en-US" w:eastAsia="zh-CN" w:bidi="ar-SA"/>
        </w:rPr>
        <w:t>2分，得分2分。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bookmarkStart w:id="247" w:name="_Toc10946"/>
      <w:r>
        <w:rPr>
          <w:rFonts w:hint="eastAsia" w:ascii="仿宋" w:hAnsi="仿宋" w:eastAsia="仿宋" w:cs="仿宋"/>
          <w:b/>
          <w:bCs w:val="0"/>
          <w:kern w:val="2"/>
          <w:sz w:val="28"/>
          <w:szCs w:val="28"/>
          <w:highlight w:val="none"/>
          <w:lang w:val="en-US" w:eastAsia="zh-CN" w:bidi="ar-SA"/>
        </w:rPr>
        <w:t>2.社会效益，权重6分，得分4分</w:t>
      </w:r>
      <w:bookmarkEnd w:id="24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bookmarkStart w:id="248" w:name="_Toc29657"/>
      <w:r>
        <w:rPr>
          <w:rFonts w:hint="eastAsia" w:ascii="仿宋" w:hAnsi="仿宋" w:eastAsia="仿宋" w:cs="仿宋"/>
          <w:b/>
          <w:bCs w:val="0"/>
          <w:kern w:val="2"/>
          <w:sz w:val="28"/>
          <w:szCs w:val="28"/>
          <w:highlight w:val="none"/>
          <w:lang w:val="en-US" w:eastAsia="zh-CN" w:bidi="ar-SA"/>
        </w:rPr>
        <w:t>（1）</w:t>
      </w:r>
      <w:bookmarkEnd w:id="248"/>
      <w:r>
        <w:rPr>
          <w:rFonts w:hint="eastAsia" w:ascii="仿宋" w:hAnsi="仿宋" w:eastAsia="仿宋" w:cs="仿宋"/>
          <w:b/>
          <w:bCs w:val="0"/>
          <w:kern w:val="2"/>
          <w:sz w:val="28"/>
          <w:szCs w:val="28"/>
          <w:highlight w:val="none"/>
          <w:lang w:val="en-US" w:eastAsia="zh-CN" w:bidi="ar-SA"/>
        </w:rPr>
        <w:t>目标群体覆盖范围增长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249" w:name="_Toc4209"/>
      <w:r>
        <w:rPr>
          <w:rFonts w:hint="eastAsia" w:ascii="仿宋" w:hAnsi="仿宋" w:eastAsia="仿宋" w:cs="仿宋"/>
          <w:b w:val="0"/>
          <w:bCs/>
          <w:kern w:val="2"/>
          <w:sz w:val="28"/>
          <w:szCs w:val="28"/>
          <w:highlight w:val="none"/>
          <w:lang w:val="en-US" w:eastAsia="zh-CN" w:bidi="ar-SA"/>
        </w:rPr>
        <w:t>通过对2019年和2020年基本公卫服务情况进行比较，2020年的预防接种率、儿童建册率、新生儿访视率、儿童健康管理率、早孕建册率、产后访视率、中医药健康管理率与2019年相比均有提高，例如：在中医药管理人才紧缺的情况下，65岁以上老年人中医药管理人数2020年比2019年增长1352人，增长率为4.98%；接受中医药健康管理服务的0-3岁儿童数管理率增长1.5%， 0-6岁儿童健康管理率增长3.94%，早孕建册率比2019年增长20.45%，产后访视率比2019年增长12.67%，高血压患者建档管理人数比2019年增加672人等。通过项目的不断实施，重点人群和重点疾病得到规范化管理，不断缩小了城乡居民基本公共卫生服务的差距，进一步促进了城乡公共卫生的均等化。</w:t>
      </w:r>
    </w:p>
    <w:p>
      <w:pPr>
        <w:pStyle w:val="2"/>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但通过比较，有个别项目2020年服务人数比2019年有所下降，如：2020年接受健康管理的老年人数比2019年下降2193人，健康管理率下降4.55%；高血压和糖尿病的规范管理人员均有所降低。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本指标权重3分，依据项目具体开展情况酌情扣去1分，得分2分。</w:t>
      </w:r>
      <w:bookmarkEnd w:id="24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val="0"/>
          <w:kern w:val="2"/>
          <w:sz w:val="28"/>
          <w:szCs w:val="28"/>
          <w:highlight w:val="none"/>
          <w:lang w:val="en-US" w:eastAsia="zh-CN" w:bidi="ar-SA"/>
        </w:rPr>
      </w:pPr>
      <w:bookmarkStart w:id="250" w:name="_Toc22532"/>
      <w:r>
        <w:rPr>
          <w:rFonts w:hint="eastAsia" w:ascii="仿宋" w:hAnsi="仿宋" w:eastAsia="仿宋" w:cs="仿宋"/>
          <w:b/>
          <w:bCs w:val="0"/>
          <w:kern w:val="2"/>
          <w:sz w:val="28"/>
          <w:szCs w:val="28"/>
          <w:highlight w:val="none"/>
          <w:lang w:val="en-US" w:eastAsia="zh-CN" w:bidi="ar-SA"/>
        </w:rPr>
        <w:t>（2）居民健康管理意识提高</w:t>
      </w:r>
      <w:bookmarkEnd w:id="25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251" w:name="_Toc23145"/>
      <w:r>
        <w:rPr>
          <w:rFonts w:hint="eastAsia" w:ascii="仿宋" w:hAnsi="仿宋" w:eastAsia="仿宋" w:cs="仿宋"/>
          <w:b w:val="0"/>
          <w:bCs/>
          <w:kern w:val="2"/>
          <w:sz w:val="28"/>
          <w:szCs w:val="28"/>
          <w:highlight w:val="none"/>
          <w:lang w:val="en-US" w:eastAsia="zh-CN" w:bidi="ar-SA"/>
        </w:rPr>
        <w:t>基本公共卫生服务项目的普及，使成千上万居民从中得到实惠，有效减轻居民就医费用负担，切实缓解了“看病难、看病贵”问题。项目通过各种形式大力开展健康教育宣传，增强健康、医药卫生知识的传播，向群众倡导健康文明的生活方式，促进公众合理营养，提高群众的健康意识和自我保健能力，辖区居民已逐步树立起了自我健康管理的理念。如：通过每年体检，健康知识普及，逐渐提高了老年人自身对预防和发现疾病的判断，也为提高老年人生活质量和安享晚年生活提供了更有效的保障；对宫颈癌、乳腺癌等严重威胁妇女健康的恶性肿瘤，通过多种形式进行宣传教育，引导育龄妇女树立预防为主、早诊早治的理念，逐步提高了辖区妇女防病意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但在现场评价中，我们发现仍有部分群众健康管理意识不高，如在慢性管理电话回访中有个别人员拒绝接受慢病管理；对健康体检结果的异常项目未能引起重视等，下一步仍需基层工作人员上门宣传，耐心讲解，才能让群众享受国家免费检查。</w:t>
      </w:r>
    </w:p>
    <w:bookmarkEnd w:id="251"/>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本指标权重3分，依据项目具体开展情况酌情扣去1分，得分2分。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val="0"/>
          <w:kern w:val="2"/>
          <w:sz w:val="28"/>
          <w:szCs w:val="28"/>
          <w:highlight w:val="none"/>
          <w:lang w:val="en-US" w:eastAsia="zh-CN" w:bidi="ar-SA"/>
        </w:rPr>
      </w:pPr>
      <w:bookmarkStart w:id="252" w:name="_Toc29769"/>
      <w:r>
        <w:rPr>
          <w:rFonts w:hint="eastAsia" w:ascii="仿宋" w:hAnsi="仿宋" w:eastAsia="仿宋" w:cs="仿宋"/>
          <w:b/>
          <w:bCs w:val="0"/>
          <w:kern w:val="2"/>
          <w:sz w:val="28"/>
          <w:szCs w:val="28"/>
          <w:highlight w:val="none"/>
          <w:lang w:val="en-US" w:eastAsia="zh-CN" w:bidi="ar-SA"/>
        </w:rPr>
        <w:t>3.可持续影响，权重6分，得分3.50分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（1）专业服务水平提升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sz w:val="28"/>
          <w:szCs w:val="28"/>
          <w:highlight w:val="yellow"/>
        </w:rPr>
      </w:pPr>
      <w:r>
        <w:rPr>
          <w:rFonts w:hint="eastAsia" w:ascii="仿宋" w:hAnsi="仿宋" w:eastAsia="仿宋" w:cs="仿宋"/>
          <w:sz w:val="28"/>
          <w:szCs w:val="28"/>
          <w:highlight w:val="none"/>
          <w:lang w:val="en-US" w:eastAsia="zh-CN"/>
        </w:rPr>
        <w:t>为进一步规范国家基本公共卫生服务项目的实施，提高项目的业务能力和管理水平，2020年临猗县卫健委多次组织各专业指导机构、项目实施单位开展国家基本公共卫生服务项目相关培训工作，并要求各乡镇卫生院定期对村级卫生室的专业服务人员进行专业知识培训，并对培训内容、培训次数进行监督考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2020年，临猗县已组建家庭医生团队数118个，在管高血压患者家庭医生签约人数36791人，糖尿病患者签约数8896人，慢病管理医防融合业务正在稳步推进。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在现场评价过程中，我们发现基层公卫人员力量配置薄弱，中医、儿保、妇保人员紧缺，服务能力无法正常满足业务所需，尤其是村医的业务水平有待进一步提升；经测算每名基层医护人员平均管理服务对象在400人左右，工作任务繁重，业务水平提升空间有限；另一方面基层医务人员因受医疗设备和业务水平限制，对疑难杂症处理能力有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本指标权重3分，得分2分。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outlineLvl w:val="0"/>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（2）政策宣传持续性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i w:val="0"/>
          <w:caps w:val="0"/>
          <w:color w:val="000000"/>
          <w:spacing w:val="0"/>
          <w:sz w:val="28"/>
          <w:szCs w:val="28"/>
          <w:shd w:val="clear" w:fill="FFFFFF"/>
          <w:lang w:val="en-US" w:eastAsia="zh-CN"/>
        </w:rPr>
      </w:pPr>
      <w:r>
        <w:rPr>
          <w:rFonts w:ascii="仿宋" w:hAnsi="仿宋" w:eastAsia="仿宋" w:cs="仿宋"/>
          <w:i w:val="0"/>
          <w:caps w:val="0"/>
          <w:color w:val="000000"/>
          <w:spacing w:val="0"/>
          <w:sz w:val="28"/>
          <w:szCs w:val="28"/>
        </w:rPr>
        <w:t>通过项目的</w:t>
      </w:r>
      <w:r>
        <w:rPr>
          <w:rFonts w:hint="eastAsia" w:ascii="仿宋" w:hAnsi="仿宋" w:eastAsia="仿宋" w:cs="仿宋"/>
          <w:i w:val="0"/>
          <w:caps w:val="0"/>
          <w:color w:val="000000"/>
          <w:spacing w:val="0"/>
          <w:sz w:val="28"/>
          <w:szCs w:val="28"/>
          <w:lang w:val="en-US" w:eastAsia="zh-CN"/>
        </w:rPr>
        <w:t>持续</w:t>
      </w:r>
      <w:r>
        <w:rPr>
          <w:rFonts w:ascii="仿宋" w:hAnsi="仿宋" w:eastAsia="仿宋" w:cs="仿宋"/>
          <w:i w:val="0"/>
          <w:caps w:val="0"/>
          <w:color w:val="000000"/>
          <w:spacing w:val="0"/>
          <w:sz w:val="28"/>
          <w:szCs w:val="28"/>
        </w:rPr>
        <w:t>宣传，居民对基本公共卫生服务的政策内容理解得更为深入，会更加主动地选择服务，基本公共卫生服务的利用率将会得到提高，可持续地发挥服务效益。</w:t>
      </w:r>
      <w:r>
        <w:rPr>
          <w:rFonts w:hint="eastAsia" w:ascii="仿宋" w:hAnsi="仿宋" w:eastAsia="仿宋" w:cs="仿宋"/>
          <w:i w:val="0"/>
          <w:caps w:val="0"/>
          <w:color w:val="000000"/>
          <w:spacing w:val="0"/>
          <w:sz w:val="28"/>
          <w:szCs w:val="28"/>
          <w:shd w:val="clear" w:fill="FFFFFF"/>
          <w:lang w:val="en-US" w:eastAsia="zh-CN"/>
        </w:rPr>
        <w:t>通过现场评价，各基层医疗机构均在显著位置张贴了国家卫健委或省级卫生健康卫生机构统一制作的宣传壁报；凡使用基本公卫服务经费开展工作的，在宣传材料显著位置均以醒目字体明示“基本公共卫生项目”；2020年国家卫健委制作的基本公共卫生服务项目公益广告均按要求广泛播放；各基层机构政策宣传内容全面，易懂，且宣传渠道多样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i w:val="0"/>
          <w:caps w:val="0"/>
          <w:color w:val="000000"/>
          <w:spacing w:val="0"/>
          <w:sz w:val="28"/>
          <w:szCs w:val="28"/>
          <w:shd w:val="clear" w:fill="FFFFFF"/>
          <w:lang w:val="en-US" w:eastAsia="zh-CN"/>
        </w:rPr>
      </w:pPr>
      <w:r>
        <w:rPr>
          <w:rFonts w:hint="eastAsia" w:ascii="仿宋" w:hAnsi="仿宋" w:eastAsia="仿宋" w:cs="仿宋"/>
          <w:i w:val="0"/>
          <w:caps w:val="0"/>
          <w:color w:val="000000"/>
          <w:spacing w:val="0"/>
          <w:sz w:val="28"/>
          <w:szCs w:val="28"/>
          <w:shd w:val="clear" w:fill="FFFFFF"/>
          <w:lang w:val="en-US" w:eastAsia="zh-CN"/>
        </w:rPr>
        <w:t>在现场评价中，我们发现，临猗县2020年基本公卫项目宣传均为各具体实施机构在小范围内的宣传活动，未能统一组织大型、有影响力、范围广泛的宣传活动，宣传力度和项目知晓度未能完全达到预期。</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840" w:firstLineChars="300"/>
        <w:textAlignment w:val="auto"/>
        <w:rPr>
          <w:rFonts w:hint="eastAsia"/>
          <w:lang w:val="en-US" w:eastAsia="zh-CN"/>
        </w:rPr>
      </w:pPr>
      <w:r>
        <w:rPr>
          <w:rFonts w:hint="eastAsia" w:ascii="仿宋" w:hAnsi="仿宋" w:eastAsia="仿宋" w:cs="仿宋"/>
          <w:b w:val="0"/>
          <w:bCs/>
          <w:kern w:val="2"/>
          <w:sz w:val="28"/>
          <w:szCs w:val="28"/>
          <w:highlight w:val="none"/>
          <w:lang w:val="en-US" w:eastAsia="zh-CN" w:bidi="ar-SA"/>
        </w:rPr>
        <w:t>本指标权重3分，得分1.5分。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4.社会公众满意度，权重10分，得分7.58分</w:t>
      </w:r>
      <w:bookmarkEnd w:id="25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textAlignment w:val="auto"/>
        <w:outlineLvl w:val="0"/>
        <w:rPr>
          <w:rFonts w:hint="eastAsia" w:ascii="仿宋" w:hAnsi="仿宋" w:eastAsia="仿宋" w:cs="仿宋"/>
          <w:b/>
          <w:bCs w:val="0"/>
          <w:kern w:val="2"/>
          <w:sz w:val="28"/>
          <w:szCs w:val="28"/>
          <w:highlight w:val="none"/>
          <w:lang w:val="en-US" w:eastAsia="zh-CN" w:bidi="ar-SA"/>
        </w:rPr>
      </w:pPr>
      <w:bookmarkStart w:id="253" w:name="_Toc32302"/>
      <w:r>
        <w:rPr>
          <w:rFonts w:hint="eastAsia" w:ascii="仿宋" w:hAnsi="仿宋" w:eastAsia="仿宋" w:cs="仿宋"/>
          <w:b/>
          <w:bCs w:val="0"/>
          <w:kern w:val="2"/>
          <w:sz w:val="28"/>
          <w:szCs w:val="28"/>
          <w:highlight w:val="none"/>
          <w:lang w:val="en-US" w:eastAsia="zh-CN" w:bidi="ar-SA"/>
        </w:rPr>
        <w:t>（1）</w:t>
      </w:r>
      <w:bookmarkEnd w:id="253"/>
      <w:bookmarkStart w:id="254" w:name="_Toc15266"/>
      <w:r>
        <w:rPr>
          <w:rFonts w:hint="eastAsia" w:ascii="仿宋" w:hAnsi="仿宋" w:eastAsia="仿宋" w:cs="仿宋"/>
          <w:b/>
          <w:bCs w:val="0"/>
          <w:kern w:val="2"/>
          <w:sz w:val="28"/>
          <w:szCs w:val="28"/>
          <w:highlight w:val="none"/>
          <w:lang w:val="en-US" w:eastAsia="zh-CN" w:bidi="ar-SA"/>
        </w:rPr>
        <w:t>居民综合满意度</w:t>
      </w:r>
      <w:bookmarkEnd w:id="254"/>
    </w:p>
    <w:p>
      <w:pPr>
        <w:adjustRightInd w:val="0"/>
        <w:snapToGrid w:val="0"/>
        <w:spacing w:line="560" w:lineRule="exact"/>
        <w:ind w:firstLine="560" w:firstLineChars="200"/>
        <w:rPr>
          <w:rFonts w:hint="eastAsia" w:ascii="仿宋" w:hAnsi="仿宋" w:eastAsia="仿宋" w:cs="仿宋"/>
          <w:sz w:val="28"/>
          <w:szCs w:val="28"/>
        </w:rPr>
      </w:pPr>
      <w:bookmarkStart w:id="255" w:name="_Toc20549"/>
      <w:r>
        <w:rPr>
          <w:rFonts w:hint="eastAsia" w:ascii="仿宋" w:hAnsi="仿宋" w:eastAsia="仿宋" w:cs="仿宋"/>
          <w:sz w:val="28"/>
          <w:szCs w:val="28"/>
        </w:rPr>
        <w:t>通过问卷调查</w:t>
      </w:r>
      <w:r>
        <w:rPr>
          <w:rFonts w:hint="eastAsia" w:ascii="仿宋" w:hAnsi="仿宋" w:eastAsia="仿宋" w:cs="仿宋"/>
          <w:sz w:val="28"/>
          <w:szCs w:val="28"/>
          <w:lang w:val="en-US" w:eastAsia="zh-CN"/>
        </w:rPr>
        <w:t>基本公共卫生服务项目对象</w:t>
      </w:r>
      <w:r>
        <w:rPr>
          <w:rFonts w:hint="eastAsia" w:ascii="仿宋" w:hAnsi="仿宋" w:eastAsia="仿宋" w:cs="仿宋"/>
          <w:sz w:val="28"/>
          <w:szCs w:val="28"/>
        </w:rPr>
        <w:t>对</w:t>
      </w:r>
      <w:r>
        <w:rPr>
          <w:rFonts w:hint="eastAsia" w:ascii="仿宋" w:hAnsi="仿宋" w:eastAsia="仿宋" w:cs="仿宋"/>
          <w:sz w:val="28"/>
          <w:szCs w:val="28"/>
          <w:lang w:val="en-US" w:eastAsia="zh-CN"/>
        </w:rPr>
        <w:t>项目开展</w:t>
      </w:r>
      <w:r>
        <w:rPr>
          <w:rFonts w:hint="eastAsia" w:ascii="仿宋" w:hAnsi="仿宋" w:eastAsia="仿宋" w:cs="仿宋"/>
          <w:sz w:val="28"/>
          <w:szCs w:val="28"/>
        </w:rPr>
        <w:t>的满意度，满意度分为“非常满意、满意、一般、不满意、非常不满意”五个选项，分别给予权重1分、0.8分、0.6分、0.3分、0分。通过发放问卷，本次共计收回问卷</w:t>
      </w:r>
      <w:r>
        <w:rPr>
          <w:rFonts w:hint="eastAsia" w:ascii="仿宋" w:hAnsi="仿宋" w:eastAsia="仿宋" w:cs="仿宋"/>
          <w:sz w:val="28"/>
          <w:szCs w:val="28"/>
          <w:lang w:val="en-US" w:eastAsia="zh-CN"/>
        </w:rPr>
        <w:t>91</w:t>
      </w:r>
      <w:r>
        <w:rPr>
          <w:rFonts w:hint="eastAsia" w:ascii="仿宋" w:hAnsi="仿宋" w:eastAsia="仿宋" w:cs="仿宋"/>
          <w:sz w:val="28"/>
          <w:szCs w:val="28"/>
        </w:rPr>
        <w:t>份，有效问卷</w:t>
      </w:r>
      <w:r>
        <w:rPr>
          <w:rFonts w:hint="eastAsia" w:ascii="仿宋" w:hAnsi="仿宋" w:eastAsia="仿宋" w:cs="仿宋"/>
          <w:sz w:val="28"/>
          <w:szCs w:val="28"/>
          <w:lang w:val="en-US" w:eastAsia="zh-CN"/>
        </w:rPr>
        <w:t>91</w:t>
      </w:r>
      <w:r>
        <w:rPr>
          <w:rFonts w:hint="eastAsia" w:ascii="仿宋" w:hAnsi="仿宋" w:eastAsia="仿宋" w:cs="仿宋"/>
          <w:sz w:val="28"/>
          <w:szCs w:val="28"/>
        </w:rPr>
        <w:t>份。满意度调查结果见下表：</w:t>
      </w:r>
    </w:p>
    <w:tbl>
      <w:tblPr>
        <w:tblStyle w:val="14"/>
        <w:tblW w:w="8528" w:type="dxa"/>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2920"/>
        <w:gridCol w:w="980"/>
        <w:gridCol w:w="462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2920" w:type="dxa"/>
            <w:shd w:val="clear" w:color="auto" w:fill="E0E0E0"/>
            <w:vAlign w:val="center"/>
          </w:tcPr>
          <w:p>
            <w:pPr>
              <w:jc w:val="center"/>
            </w:pPr>
            <w:r>
              <w:t>选项</w:t>
            </w:r>
          </w:p>
        </w:tc>
        <w:tc>
          <w:tcPr>
            <w:tcW w:w="980" w:type="dxa"/>
            <w:shd w:val="clear" w:color="auto" w:fill="E0E0E0"/>
            <w:vAlign w:val="center"/>
          </w:tcPr>
          <w:p>
            <w:pPr>
              <w:jc w:val="center"/>
            </w:pPr>
            <w:r>
              <w:t>小计</w:t>
            </w:r>
          </w:p>
        </w:tc>
        <w:tc>
          <w:tcPr>
            <w:tcW w:w="4628" w:type="dxa"/>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2920" w:type="dxa"/>
            <w:shd w:val="clear" w:color="auto" w:fill="FFFFFF"/>
            <w:vAlign w:val="center"/>
          </w:tcPr>
          <w:p>
            <w:pPr>
              <w:jc w:val="left"/>
            </w:pPr>
            <w:r>
              <w:t>非常满意</w:t>
            </w:r>
          </w:p>
        </w:tc>
        <w:tc>
          <w:tcPr>
            <w:tcW w:w="980" w:type="dxa"/>
            <w:shd w:val="clear" w:color="auto" w:fill="FFFFFF"/>
            <w:vAlign w:val="center"/>
          </w:tcPr>
          <w:p>
            <w:pPr>
              <w:jc w:val="center"/>
            </w:pPr>
            <w:r>
              <w:t>70</w:t>
            </w:r>
          </w:p>
        </w:tc>
        <w:tc>
          <w:tcPr>
            <w:tcW w:w="4628" w:type="dxa"/>
            <w:shd w:val="clear" w:color="auto" w:fill="FFFFFF"/>
            <w:vAlign w:val="center"/>
          </w:tcPr>
          <w:p>
            <w:pPr>
              <w:jc w:val="left"/>
            </w:pPr>
            <w:r>
              <w:drawing>
                <wp:inline distT="0" distB="0" distL="114300" distR="114300">
                  <wp:extent cx="1038225" cy="114300"/>
                  <wp:effectExtent l="0" t="0" r="3175" b="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16"/>
                          <a:stretch>
                            <a:fillRect/>
                          </a:stretch>
                        </pic:blipFill>
                        <pic:spPr>
                          <a:xfrm>
                            <a:off x="0" y="0"/>
                            <a:ext cx="1038225" cy="114300"/>
                          </a:xfrm>
                          <a:prstGeom prst="rect">
                            <a:avLst/>
                          </a:prstGeom>
                          <a:noFill/>
                          <a:ln>
                            <a:noFill/>
                          </a:ln>
                        </pic:spPr>
                      </pic:pic>
                    </a:graphicData>
                  </a:graphic>
                </wp:inline>
              </w:drawing>
            </w:r>
            <w:r>
              <w:drawing>
                <wp:inline distT="0" distB="0" distL="114300" distR="114300">
                  <wp:extent cx="314325" cy="114300"/>
                  <wp:effectExtent l="0" t="0" r="3175" b="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17"/>
                          <a:stretch>
                            <a:fillRect/>
                          </a:stretch>
                        </pic:blipFill>
                        <pic:spPr>
                          <a:xfrm>
                            <a:off x="0" y="0"/>
                            <a:ext cx="314325" cy="114300"/>
                          </a:xfrm>
                          <a:prstGeom prst="rect">
                            <a:avLst/>
                          </a:prstGeom>
                          <a:noFill/>
                          <a:ln>
                            <a:noFill/>
                          </a:ln>
                        </pic:spPr>
                      </pic:pic>
                    </a:graphicData>
                  </a:graphic>
                </wp:inline>
              </w:drawing>
            </w:r>
            <w:r>
              <w:t>76.92%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2920" w:type="dxa"/>
            <w:shd w:val="clear" w:color="auto" w:fill="F9F9F9"/>
            <w:vAlign w:val="center"/>
          </w:tcPr>
          <w:p>
            <w:pPr>
              <w:jc w:val="left"/>
            </w:pPr>
            <w:r>
              <w:t>比较满意</w:t>
            </w:r>
          </w:p>
        </w:tc>
        <w:tc>
          <w:tcPr>
            <w:tcW w:w="980" w:type="dxa"/>
            <w:shd w:val="clear" w:color="auto" w:fill="F9F9F9"/>
            <w:vAlign w:val="center"/>
          </w:tcPr>
          <w:p>
            <w:pPr>
              <w:jc w:val="center"/>
            </w:pPr>
            <w:r>
              <w:t>10</w:t>
            </w:r>
          </w:p>
        </w:tc>
        <w:tc>
          <w:tcPr>
            <w:tcW w:w="4628" w:type="dxa"/>
            <w:shd w:val="clear" w:color="auto" w:fill="F9F9F9"/>
            <w:vAlign w:val="center"/>
          </w:tcPr>
          <w:p>
            <w:pPr>
              <w:jc w:val="left"/>
            </w:pPr>
            <w:r>
              <w:drawing>
                <wp:inline distT="0" distB="0" distL="114300" distR="114300">
                  <wp:extent cx="142875" cy="114300"/>
                  <wp:effectExtent l="0" t="0" r="9525" b="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18"/>
                          <a:stretch>
                            <a:fillRect/>
                          </a:stretch>
                        </pic:blipFill>
                        <pic:spPr>
                          <a:xfrm>
                            <a:off x="0" y="0"/>
                            <a:ext cx="142875" cy="114300"/>
                          </a:xfrm>
                          <a:prstGeom prst="rect">
                            <a:avLst/>
                          </a:prstGeom>
                          <a:noFill/>
                          <a:ln>
                            <a:noFill/>
                          </a:ln>
                        </pic:spPr>
                      </pic:pic>
                    </a:graphicData>
                  </a:graphic>
                </wp:inline>
              </w:drawing>
            </w:r>
            <w:r>
              <w:drawing>
                <wp:inline distT="0" distB="0" distL="114300" distR="114300">
                  <wp:extent cx="1209675" cy="114300"/>
                  <wp:effectExtent l="0" t="0" r="9525" b="0"/>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19"/>
                          <a:stretch>
                            <a:fillRect/>
                          </a:stretch>
                        </pic:blipFill>
                        <pic:spPr>
                          <a:xfrm>
                            <a:off x="0" y="0"/>
                            <a:ext cx="1209675" cy="114300"/>
                          </a:xfrm>
                          <a:prstGeom prst="rect">
                            <a:avLst/>
                          </a:prstGeom>
                          <a:noFill/>
                          <a:ln>
                            <a:noFill/>
                          </a:ln>
                        </pic:spPr>
                      </pic:pic>
                    </a:graphicData>
                  </a:graphic>
                </wp:inline>
              </w:drawing>
            </w:r>
            <w:r>
              <w:t>10.99%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2920" w:type="dxa"/>
            <w:shd w:val="clear" w:color="auto" w:fill="FFFFFF"/>
            <w:vAlign w:val="center"/>
          </w:tcPr>
          <w:p>
            <w:pPr>
              <w:jc w:val="left"/>
            </w:pPr>
            <w:r>
              <w:t>基本满意</w:t>
            </w:r>
          </w:p>
        </w:tc>
        <w:tc>
          <w:tcPr>
            <w:tcW w:w="980" w:type="dxa"/>
            <w:shd w:val="clear" w:color="auto" w:fill="FFFFFF"/>
            <w:vAlign w:val="center"/>
          </w:tcPr>
          <w:p>
            <w:pPr>
              <w:jc w:val="center"/>
            </w:pPr>
            <w:r>
              <w:t>4</w:t>
            </w:r>
          </w:p>
        </w:tc>
        <w:tc>
          <w:tcPr>
            <w:tcW w:w="4628" w:type="dxa"/>
            <w:shd w:val="clear" w:color="auto" w:fill="FFFFFF"/>
            <w:vAlign w:val="center"/>
          </w:tcPr>
          <w:p>
            <w:pPr>
              <w:jc w:val="left"/>
            </w:pPr>
            <w:r>
              <w:drawing>
                <wp:inline distT="0" distB="0" distL="114300" distR="114300">
                  <wp:extent cx="57150" cy="114300"/>
                  <wp:effectExtent l="0" t="0" r="635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20"/>
                          <a:stretch>
                            <a:fillRect/>
                          </a:stretch>
                        </pic:blipFill>
                        <pic:spPr>
                          <a:xfrm>
                            <a:off x="0" y="0"/>
                            <a:ext cx="57150" cy="114300"/>
                          </a:xfrm>
                          <a:prstGeom prst="rect">
                            <a:avLst/>
                          </a:prstGeom>
                          <a:noFill/>
                          <a:ln>
                            <a:noFill/>
                          </a:ln>
                        </pic:spPr>
                      </pic:pic>
                    </a:graphicData>
                  </a:graphic>
                </wp:inline>
              </w:drawing>
            </w:r>
            <w:r>
              <w:drawing>
                <wp:inline distT="0" distB="0" distL="114300" distR="114300">
                  <wp:extent cx="1295400" cy="114300"/>
                  <wp:effectExtent l="0" t="0" r="0" b="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1"/>
                          <a:stretch>
                            <a:fillRect/>
                          </a:stretch>
                        </pic:blipFill>
                        <pic:spPr>
                          <a:xfrm>
                            <a:off x="0" y="0"/>
                            <a:ext cx="1295400" cy="114300"/>
                          </a:xfrm>
                          <a:prstGeom prst="rect">
                            <a:avLst/>
                          </a:prstGeom>
                          <a:noFill/>
                          <a:ln>
                            <a:noFill/>
                          </a:ln>
                        </pic:spPr>
                      </pic:pic>
                    </a:graphicData>
                  </a:graphic>
                </wp:inline>
              </w:drawing>
            </w:r>
            <w:r>
              <w:t>4.4%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2920" w:type="dxa"/>
            <w:shd w:val="clear" w:color="auto" w:fill="F9F9F9"/>
            <w:vAlign w:val="center"/>
          </w:tcPr>
          <w:p>
            <w:pPr>
              <w:jc w:val="left"/>
            </w:pPr>
            <w:r>
              <w:t>不满意</w:t>
            </w:r>
          </w:p>
        </w:tc>
        <w:tc>
          <w:tcPr>
            <w:tcW w:w="980" w:type="dxa"/>
            <w:shd w:val="clear" w:color="auto" w:fill="F9F9F9"/>
            <w:vAlign w:val="center"/>
          </w:tcPr>
          <w:p>
            <w:pPr>
              <w:jc w:val="center"/>
            </w:pPr>
            <w:r>
              <w:t>5</w:t>
            </w:r>
          </w:p>
        </w:tc>
        <w:tc>
          <w:tcPr>
            <w:tcW w:w="4628" w:type="dxa"/>
            <w:shd w:val="clear" w:color="auto" w:fill="F9F9F9"/>
            <w:vAlign w:val="center"/>
          </w:tcPr>
          <w:p>
            <w:pPr>
              <w:jc w:val="left"/>
            </w:pPr>
            <w:r>
              <w:drawing>
                <wp:inline distT="0" distB="0" distL="114300" distR="114300">
                  <wp:extent cx="66675" cy="114300"/>
                  <wp:effectExtent l="0" t="0" r="9525" b="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2"/>
                          <a:stretch>
                            <a:fillRect/>
                          </a:stretch>
                        </pic:blipFill>
                        <pic:spPr>
                          <a:xfrm>
                            <a:off x="0" y="0"/>
                            <a:ext cx="66675" cy="114300"/>
                          </a:xfrm>
                          <a:prstGeom prst="rect">
                            <a:avLst/>
                          </a:prstGeom>
                          <a:noFill/>
                          <a:ln>
                            <a:noFill/>
                          </a:ln>
                        </pic:spPr>
                      </pic:pic>
                    </a:graphicData>
                  </a:graphic>
                </wp:inline>
              </w:drawing>
            </w:r>
            <w:r>
              <w:drawing>
                <wp:inline distT="0" distB="0" distL="114300" distR="114300">
                  <wp:extent cx="1285875" cy="114300"/>
                  <wp:effectExtent l="0" t="0" r="9525" b="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23"/>
                          <a:stretch>
                            <a:fillRect/>
                          </a:stretch>
                        </pic:blipFill>
                        <pic:spPr>
                          <a:xfrm>
                            <a:off x="0" y="0"/>
                            <a:ext cx="1285875" cy="114300"/>
                          </a:xfrm>
                          <a:prstGeom prst="rect">
                            <a:avLst/>
                          </a:prstGeom>
                          <a:noFill/>
                          <a:ln>
                            <a:noFill/>
                          </a:ln>
                        </pic:spPr>
                      </pic:pic>
                    </a:graphicData>
                  </a:graphic>
                </wp:inline>
              </w:drawing>
            </w:r>
            <w:r>
              <w:t>5.49%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2920" w:type="dxa"/>
            <w:shd w:val="clear" w:color="auto" w:fill="FFFFFF"/>
            <w:vAlign w:val="center"/>
          </w:tcPr>
          <w:p>
            <w:pPr>
              <w:jc w:val="left"/>
            </w:pPr>
            <w:r>
              <w:t>非常不满意</w:t>
            </w:r>
          </w:p>
        </w:tc>
        <w:tc>
          <w:tcPr>
            <w:tcW w:w="980" w:type="dxa"/>
            <w:shd w:val="clear" w:color="auto" w:fill="FFFFFF"/>
            <w:vAlign w:val="center"/>
          </w:tcPr>
          <w:p>
            <w:pPr>
              <w:jc w:val="center"/>
            </w:pPr>
            <w:r>
              <w:t>2</w:t>
            </w:r>
          </w:p>
        </w:tc>
        <w:tc>
          <w:tcPr>
            <w:tcW w:w="4628" w:type="dxa"/>
            <w:shd w:val="clear" w:color="auto" w:fill="FFFFFF"/>
            <w:vAlign w:val="center"/>
          </w:tcPr>
          <w:p>
            <w:pPr>
              <w:jc w:val="left"/>
            </w:pPr>
            <w:r>
              <w:drawing>
                <wp:inline distT="0" distB="0" distL="114300" distR="114300">
                  <wp:extent cx="28575" cy="114300"/>
                  <wp:effectExtent l="0" t="0" r="9525" b="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24"/>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25"/>
                          <a:stretch>
                            <a:fillRect/>
                          </a:stretch>
                        </pic:blipFill>
                        <pic:spPr>
                          <a:xfrm>
                            <a:off x="0" y="0"/>
                            <a:ext cx="1323975" cy="114300"/>
                          </a:xfrm>
                          <a:prstGeom prst="rect">
                            <a:avLst/>
                          </a:prstGeom>
                          <a:noFill/>
                          <a:ln>
                            <a:noFill/>
                          </a:ln>
                        </pic:spPr>
                      </pic:pic>
                    </a:graphicData>
                  </a:graphic>
                </wp:inline>
              </w:drawing>
            </w:r>
            <w:r>
              <w:t>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2920" w:type="dxa"/>
            <w:shd w:val="clear" w:color="auto" w:fill="E0E0E0"/>
            <w:vAlign w:val="center"/>
          </w:tcPr>
          <w:p>
            <w:pPr>
              <w:jc w:val="left"/>
            </w:pPr>
            <w:r>
              <w:t>本题有效填写人次</w:t>
            </w:r>
          </w:p>
        </w:tc>
        <w:tc>
          <w:tcPr>
            <w:tcW w:w="980" w:type="dxa"/>
            <w:shd w:val="clear" w:color="auto" w:fill="E0E0E0"/>
            <w:vAlign w:val="center"/>
          </w:tcPr>
          <w:p>
            <w:pPr>
              <w:jc w:val="center"/>
            </w:pPr>
            <w:r>
              <w:t>91</w:t>
            </w:r>
          </w:p>
        </w:tc>
        <w:tc>
          <w:tcPr>
            <w:tcW w:w="4628" w:type="dxa"/>
            <w:shd w:val="clear" w:color="auto" w:fill="E0E0E0"/>
            <w:vAlign w:val="center"/>
          </w:tcPr>
          <w:p>
            <w:pPr>
              <w:jc w:val="left"/>
            </w:pP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受益对象</w:t>
      </w:r>
      <w:r>
        <w:rPr>
          <w:rFonts w:hint="eastAsia" w:ascii="仿宋" w:hAnsi="仿宋" w:eastAsia="仿宋" w:cs="仿宋"/>
          <w:sz w:val="28"/>
          <w:szCs w:val="28"/>
        </w:rPr>
        <w:t>满意</w:t>
      </w:r>
      <w:r>
        <w:rPr>
          <w:rFonts w:hint="eastAsia" w:ascii="仿宋" w:hAnsi="仿宋" w:eastAsia="仿宋" w:cs="仿宋"/>
          <w:sz w:val="28"/>
          <w:szCs w:val="28"/>
          <w:lang w:eastAsia="zh-CN"/>
        </w:rPr>
        <w:t>度为：</w:t>
      </w:r>
      <w:r>
        <w:rPr>
          <w:rFonts w:hint="eastAsia" w:ascii="仿宋" w:hAnsi="仿宋" w:eastAsia="仿宋" w:cs="仿宋"/>
          <w:sz w:val="28"/>
          <w:szCs w:val="28"/>
          <w:lang w:val="en-US" w:eastAsia="zh-CN"/>
        </w:rPr>
        <w:t>76.92%</w:t>
      </w:r>
      <w:r>
        <w:rPr>
          <w:rFonts w:hint="eastAsia" w:ascii="仿宋" w:hAnsi="仿宋" w:eastAsia="仿宋" w:cs="仿宋"/>
          <w:sz w:val="28"/>
          <w:szCs w:val="28"/>
        </w:rPr>
        <w:t>*</w:t>
      </w:r>
      <w:r>
        <w:rPr>
          <w:rFonts w:hint="eastAsia" w:ascii="仿宋" w:hAnsi="仿宋" w:eastAsia="仿宋" w:cs="仿宋"/>
          <w:sz w:val="28"/>
          <w:szCs w:val="28"/>
          <w:lang w:val="en-US" w:eastAsia="zh-CN"/>
        </w:rPr>
        <w:t>1</w:t>
      </w:r>
      <w:r>
        <w:rPr>
          <w:rFonts w:hint="eastAsia" w:ascii="仿宋" w:hAnsi="仿宋" w:eastAsia="仿宋" w:cs="仿宋"/>
          <w:sz w:val="28"/>
          <w:szCs w:val="28"/>
        </w:rPr>
        <w:t>+</w:t>
      </w:r>
      <w:r>
        <w:rPr>
          <w:rFonts w:hint="eastAsia" w:ascii="仿宋" w:hAnsi="仿宋" w:eastAsia="仿宋" w:cs="仿宋"/>
          <w:sz w:val="28"/>
          <w:szCs w:val="28"/>
          <w:lang w:val="en-US" w:eastAsia="zh-CN"/>
        </w:rPr>
        <w:t>10.99</w:t>
      </w:r>
      <w:r>
        <w:rPr>
          <w:rFonts w:hint="eastAsia" w:ascii="仿宋" w:hAnsi="仿宋" w:eastAsia="仿宋" w:cs="仿宋"/>
          <w:sz w:val="28"/>
          <w:szCs w:val="28"/>
        </w:rPr>
        <w:t>%*0.8+</w:t>
      </w:r>
      <w:r>
        <w:rPr>
          <w:rFonts w:hint="eastAsia" w:ascii="仿宋" w:hAnsi="仿宋" w:eastAsia="仿宋" w:cs="仿宋"/>
          <w:sz w:val="28"/>
          <w:szCs w:val="28"/>
          <w:lang w:val="en-US" w:eastAsia="zh-CN"/>
        </w:rPr>
        <w:t>2.4</w:t>
      </w:r>
      <w:r>
        <w:rPr>
          <w:rFonts w:hint="eastAsia" w:ascii="仿宋" w:hAnsi="仿宋" w:eastAsia="仿宋" w:cs="仿宋"/>
          <w:sz w:val="28"/>
          <w:szCs w:val="28"/>
        </w:rPr>
        <w:t>%*0.6+</w:t>
      </w:r>
      <w:r>
        <w:rPr>
          <w:rFonts w:hint="eastAsia" w:ascii="仿宋" w:hAnsi="仿宋" w:eastAsia="仿宋" w:cs="仿宋"/>
          <w:sz w:val="28"/>
          <w:szCs w:val="28"/>
          <w:lang w:val="en-US" w:eastAsia="zh-CN"/>
        </w:rPr>
        <w:t>5.49</w:t>
      </w:r>
      <w:r>
        <w:rPr>
          <w:rFonts w:hint="eastAsia" w:ascii="仿宋" w:hAnsi="仿宋" w:eastAsia="仿宋" w:cs="仿宋"/>
          <w:sz w:val="28"/>
          <w:szCs w:val="28"/>
        </w:rPr>
        <w:t>%*0.3</w:t>
      </w:r>
      <w:r>
        <w:rPr>
          <w:rFonts w:hint="eastAsia" w:ascii="仿宋" w:hAnsi="仿宋" w:eastAsia="仿宋" w:cs="仿宋"/>
          <w:sz w:val="28"/>
          <w:szCs w:val="28"/>
          <w:lang w:val="en-US" w:eastAsia="zh-CN"/>
        </w:rPr>
        <w:t>+2.2*0</w:t>
      </w:r>
      <w:r>
        <w:rPr>
          <w:rFonts w:hint="eastAsia" w:ascii="仿宋" w:hAnsi="仿宋" w:eastAsia="仿宋" w:cs="仿宋"/>
          <w:sz w:val="28"/>
          <w:szCs w:val="28"/>
        </w:rPr>
        <w:t>=</w:t>
      </w:r>
      <w:r>
        <w:rPr>
          <w:rFonts w:hint="eastAsia" w:ascii="仿宋" w:hAnsi="仿宋" w:eastAsia="仿宋" w:cs="仿宋"/>
          <w:sz w:val="28"/>
          <w:szCs w:val="28"/>
          <w:lang w:val="en-US" w:eastAsia="zh-CN"/>
        </w:rPr>
        <w:t>88</w:t>
      </w:r>
      <w:r>
        <w:rPr>
          <w:rFonts w:hint="eastAsia" w:ascii="仿宋" w:hAnsi="仿宋" w:eastAsia="仿宋" w:cs="仿宋"/>
          <w:sz w:val="28"/>
          <w:szCs w:val="28"/>
        </w:rPr>
        <w:t>.</w:t>
      </w:r>
      <w:r>
        <w:rPr>
          <w:rFonts w:hint="eastAsia" w:ascii="仿宋" w:hAnsi="仿宋" w:eastAsia="仿宋" w:cs="仿宋"/>
          <w:sz w:val="28"/>
          <w:szCs w:val="28"/>
          <w:lang w:val="en-US" w:eastAsia="zh-CN"/>
        </w:rPr>
        <w:t>80</w:t>
      </w:r>
      <w:r>
        <w:rPr>
          <w:rFonts w:hint="eastAsia" w:ascii="仿宋" w:hAnsi="仿宋" w:eastAsia="仿宋" w:cs="仿宋"/>
          <w:sz w:val="28"/>
          <w:szCs w:val="28"/>
        </w:rPr>
        <w:t>%</w:t>
      </w:r>
    </w:p>
    <w:bookmarkEnd w:id="255"/>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textAlignment w:val="auto"/>
        <w:outlineLvl w:val="0"/>
        <w:rPr>
          <w:rFonts w:hint="default" w:ascii="仿宋" w:hAnsi="仿宋" w:eastAsia="仿宋" w:cs="仿宋"/>
          <w:b w:val="0"/>
          <w:bCs/>
          <w:kern w:val="2"/>
          <w:sz w:val="28"/>
          <w:szCs w:val="28"/>
          <w:highlight w:val="none"/>
          <w:lang w:val="en-US" w:eastAsia="zh-CN" w:bidi="ar-SA"/>
        </w:rPr>
      </w:pPr>
      <w:bookmarkStart w:id="256" w:name="_Toc12725"/>
      <w:r>
        <w:rPr>
          <w:rFonts w:hint="eastAsia" w:ascii="仿宋" w:hAnsi="仿宋" w:eastAsia="仿宋" w:cs="仿宋"/>
          <w:b w:val="0"/>
          <w:bCs/>
          <w:kern w:val="2"/>
          <w:sz w:val="28"/>
          <w:szCs w:val="28"/>
          <w:highlight w:val="none"/>
          <w:lang w:val="en-US" w:eastAsia="zh-CN" w:bidi="ar-SA"/>
        </w:rPr>
        <w:t>平均满意度在95分及以上的，得满分，低于60分，得0分，满意度在60-95区间，按比例计算得分。本指标得分=（88.80-60）/（95-60）*6=4.94。</w:t>
      </w:r>
      <w:bookmarkEnd w:id="25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textAlignment w:val="auto"/>
        <w:outlineLvl w:val="0"/>
        <w:rPr>
          <w:rFonts w:hint="default" w:ascii="仿宋" w:hAnsi="仿宋" w:eastAsia="仿宋" w:cs="仿宋"/>
          <w:b w:val="0"/>
          <w:bCs/>
          <w:kern w:val="2"/>
          <w:sz w:val="28"/>
          <w:szCs w:val="28"/>
          <w:highlight w:val="none"/>
          <w:lang w:val="en-US" w:eastAsia="zh-CN" w:bidi="ar-SA"/>
        </w:rPr>
      </w:pPr>
      <w:bookmarkStart w:id="257" w:name="_Toc5612"/>
      <w:r>
        <w:rPr>
          <w:rFonts w:hint="eastAsia" w:ascii="仿宋" w:hAnsi="仿宋" w:eastAsia="仿宋" w:cs="仿宋"/>
          <w:b w:val="0"/>
          <w:bCs/>
          <w:kern w:val="2"/>
          <w:sz w:val="28"/>
          <w:szCs w:val="28"/>
          <w:highlight w:val="none"/>
          <w:lang w:val="en-US" w:eastAsia="zh-CN" w:bidi="ar-SA"/>
        </w:rPr>
        <w:t>本指标权重6分，得分4.94分。</w:t>
      </w:r>
      <w:bookmarkEnd w:id="25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val="0"/>
          <w:kern w:val="2"/>
          <w:sz w:val="28"/>
          <w:szCs w:val="28"/>
          <w:highlight w:val="none"/>
          <w:lang w:val="en-US" w:eastAsia="zh-CN" w:bidi="ar-SA"/>
        </w:rPr>
      </w:pPr>
      <w:bookmarkStart w:id="258" w:name="_Toc2348"/>
      <w:r>
        <w:rPr>
          <w:rFonts w:hint="eastAsia" w:ascii="仿宋" w:hAnsi="仿宋" w:eastAsia="仿宋" w:cs="仿宋"/>
          <w:b/>
          <w:bCs w:val="0"/>
          <w:kern w:val="2"/>
          <w:sz w:val="28"/>
          <w:szCs w:val="28"/>
          <w:highlight w:val="none"/>
          <w:lang w:val="en-US" w:eastAsia="zh-CN" w:bidi="ar-SA"/>
        </w:rPr>
        <w:t>（2）基层医务人员满意度</w:t>
      </w:r>
      <w:bookmarkEnd w:id="258"/>
      <w:r>
        <w:rPr>
          <w:rFonts w:hint="eastAsia" w:ascii="仿宋" w:hAnsi="仿宋" w:eastAsia="仿宋" w:cs="仿宋"/>
          <w:b/>
          <w:bCs w:val="0"/>
          <w:kern w:val="2"/>
          <w:sz w:val="28"/>
          <w:szCs w:val="28"/>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Cs/>
          <w:sz w:val="28"/>
          <w:szCs w:val="28"/>
        </w:rPr>
      </w:pPr>
      <w:bookmarkStart w:id="259" w:name="_Toc17838"/>
      <w:r>
        <w:rPr>
          <w:rFonts w:hint="eastAsia" w:ascii="仿宋" w:hAnsi="仿宋" w:eastAsia="仿宋" w:cs="仿宋"/>
          <w:bCs/>
          <w:sz w:val="28"/>
          <w:szCs w:val="28"/>
          <w:lang w:val="en-US" w:eastAsia="zh-CN"/>
        </w:rPr>
        <w:t>现场评价时，我们向基本公卫人员随机发放了100</w:t>
      </w:r>
      <w:r>
        <w:rPr>
          <w:rFonts w:hint="eastAsia" w:ascii="仿宋" w:hAnsi="仿宋" w:eastAsia="仿宋" w:cs="仿宋"/>
          <w:bCs/>
          <w:sz w:val="28"/>
          <w:szCs w:val="28"/>
        </w:rPr>
        <w:t>份满意度问卷，收回1</w:t>
      </w:r>
      <w:r>
        <w:rPr>
          <w:rFonts w:hint="eastAsia" w:ascii="仿宋" w:hAnsi="仿宋" w:eastAsia="仿宋" w:cs="仿宋"/>
          <w:bCs/>
          <w:sz w:val="28"/>
          <w:szCs w:val="28"/>
          <w:lang w:val="en-US" w:eastAsia="zh-CN"/>
        </w:rPr>
        <w:t>00</w:t>
      </w:r>
      <w:r>
        <w:rPr>
          <w:rFonts w:hint="eastAsia" w:ascii="仿宋" w:hAnsi="仿宋" w:eastAsia="仿宋" w:cs="仿宋"/>
          <w:bCs/>
          <w:sz w:val="28"/>
          <w:szCs w:val="28"/>
        </w:rPr>
        <w:t>份，均为有效问卷。主要对</w:t>
      </w:r>
      <w:r>
        <w:rPr>
          <w:rFonts w:hint="eastAsia" w:ascii="仿宋" w:hAnsi="仿宋" w:eastAsia="仿宋" w:cs="仿宋"/>
          <w:bCs/>
          <w:sz w:val="28"/>
          <w:szCs w:val="28"/>
          <w:lang w:val="zh-TW" w:eastAsia="zh-CN" w:bidi="ar"/>
        </w:rPr>
        <w:t>基本公共卫生服务管理工作满意</w:t>
      </w:r>
      <w:r>
        <w:rPr>
          <w:rFonts w:hint="eastAsia" w:ascii="仿宋" w:hAnsi="仿宋" w:eastAsia="仿宋" w:cs="仿宋"/>
          <w:bCs/>
          <w:sz w:val="28"/>
          <w:szCs w:val="28"/>
          <w:lang w:val="en-US" w:eastAsia="zh-CN" w:bidi="ar"/>
        </w:rPr>
        <w:t>度</w:t>
      </w:r>
      <w:r>
        <w:rPr>
          <w:rFonts w:hint="eastAsia" w:ascii="仿宋" w:hAnsi="仿宋" w:eastAsia="仿宋" w:cs="仿宋"/>
          <w:bCs/>
          <w:sz w:val="28"/>
          <w:szCs w:val="28"/>
          <w:lang w:val="zh-TW" w:eastAsia="zh-CN" w:bidi="ar"/>
        </w:rPr>
        <w:t>；绩效考核标准满意</w:t>
      </w:r>
      <w:r>
        <w:rPr>
          <w:rFonts w:hint="eastAsia" w:ascii="仿宋" w:hAnsi="仿宋" w:eastAsia="仿宋" w:cs="仿宋"/>
          <w:bCs/>
          <w:sz w:val="28"/>
          <w:szCs w:val="28"/>
          <w:lang w:val="en-US" w:eastAsia="zh-CN" w:bidi="ar"/>
        </w:rPr>
        <w:t>度</w:t>
      </w:r>
      <w:r>
        <w:rPr>
          <w:rFonts w:hint="eastAsia" w:ascii="仿宋" w:hAnsi="仿宋" w:eastAsia="仿宋" w:cs="仿宋"/>
          <w:bCs/>
          <w:sz w:val="28"/>
          <w:szCs w:val="28"/>
          <w:lang w:val="zh-TW" w:eastAsia="zh-CN" w:bidi="ar"/>
        </w:rPr>
        <w:t>；基本公共卫生目前的运行模式满意</w:t>
      </w:r>
      <w:r>
        <w:rPr>
          <w:rFonts w:hint="eastAsia" w:ascii="仿宋" w:hAnsi="仿宋" w:eastAsia="仿宋" w:cs="仿宋"/>
          <w:bCs/>
          <w:sz w:val="28"/>
          <w:szCs w:val="28"/>
          <w:lang w:val="en-US" w:eastAsia="zh-CN" w:bidi="ar"/>
        </w:rPr>
        <w:t>度</w:t>
      </w:r>
      <w:r>
        <w:rPr>
          <w:rFonts w:hint="eastAsia" w:ascii="仿宋" w:hAnsi="仿宋" w:eastAsia="仿宋" w:cs="仿宋"/>
          <w:bCs/>
          <w:sz w:val="28"/>
          <w:szCs w:val="28"/>
          <w:lang w:val="zh-TW" w:eastAsia="zh-CN" w:bidi="ar"/>
        </w:rPr>
        <w:t>；基本公共卫生医疗人员待遇满意</w:t>
      </w:r>
      <w:r>
        <w:rPr>
          <w:rFonts w:hint="eastAsia" w:ascii="仿宋" w:hAnsi="仿宋" w:eastAsia="仿宋" w:cs="仿宋"/>
          <w:bCs/>
          <w:sz w:val="28"/>
          <w:szCs w:val="28"/>
          <w:lang w:val="en-US" w:eastAsia="zh-CN" w:bidi="ar"/>
        </w:rPr>
        <w:t>度</w:t>
      </w:r>
      <w:r>
        <w:rPr>
          <w:rFonts w:hint="eastAsia" w:ascii="仿宋" w:hAnsi="仿宋" w:eastAsia="仿宋" w:cs="仿宋"/>
          <w:bCs/>
          <w:sz w:val="28"/>
          <w:szCs w:val="28"/>
          <w:lang w:val="zh-TW" w:eastAsia="zh-CN" w:bidi="ar"/>
        </w:rPr>
        <w:t>；基本公共卫生项目每年专业培训内容满意</w:t>
      </w:r>
      <w:r>
        <w:rPr>
          <w:rFonts w:hint="eastAsia" w:ascii="仿宋" w:hAnsi="仿宋" w:eastAsia="仿宋" w:cs="仿宋"/>
          <w:bCs/>
          <w:sz w:val="28"/>
          <w:szCs w:val="28"/>
          <w:lang w:val="en-US" w:eastAsia="zh-CN" w:bidi="ar"/>
        </w:rPr>
        <w:t>度</w:t>
      </w:r>
      <w:r>
        <w:rPr>
          <w:rFonts w:hint="eastAsia" w:ascii="仿宋" w:hAnsi="仿宋" w:eastAsia="仿宋" w:cs="仿宋"/>
          <w:bCs/>
          <w:sz w:val="28"/>
          <w:szCs w:val="28"/>
          <w:lang w:val="en-US" w:eastAsia="zh-CN"/>
        </w:rPr>
        <w:t>五</w:t>
      </w:r>
      <w:r>
        <w:rPr>
          <w:rFonts w:hint="eastAsia" w:ascii="仿宋" w:hAnsi="仿宋" w:eastAsia="仿宋" w:cs="仿宋"/>
          <w:bCs/>
          <w:sz w:val="28"/>
          <w:szCs w:val="28"/>
        </w:rPr>
        <w:t>个方进行了调查，我们对问卷调查结果进行汇总，得出平均满意度为</w:t>
      </w:r>
      <w:r>
        <w:rPr>
          <w:rFonts w:hint="eastAsia" w:ascii="仿宋" w:hAnsi="仿宋" w:eastAsia="仿宋" w:cs="仿宋"/>
          <w:bCs/>
          <w:sz w:val="28"/>
          <w:szCs w:val="28"/>
          <w:lang w:val="en-US" w:eastAsia="zh-CN"/>
        </w:rPr>
        <w:t>83</w:t>
      </w:r>
      <w:r>
        <w:rPr>
          <w:rFonts w:hint="eastAsia" w:ascii="仿宋" w:hAnsi="仿宋" w:eastAsia="仿宋" w:cs="仿宋"/>
          <w:bCs/>
          <w:sz w:val="28"/>
          <w:szCs w:val="28"/>
        </w:rPr>
        <w:t>.</w:t>
      </w:r>
      <w:r>
        <w:rPr>
          <w:rFonts w:hint="eastAsia" w:ascii="仿宋" w:hAnsi="仿宋" w:eastAsia="仿宋" w:cs="仿宋"/>
          <w:bCs/>
          <w:sz w:val="28"/>
          <w:szCs w:val="28"/>
          <w:lang w:val="en-US" w:eastAsia="zh-CN"/>
        </w:rPr>
        <w:t>14</w:t>
      </w:r>
      <w:r>
        <w:rPr>
          <w:rFonts w:hint="eastAsia" w:ascii="仿宋" w:hAnsi="仿宋" w:eastAsia="仿宋" w:cs="仿宋"/>
          <w:bCs/>
          <w:sz w:val="28"/>
          <w:szCs w:val="28"/>
        </w:rPr>
        <w:t>%。具体计算情况详见附件</w:t>
      </w:r>
      <w:r>
        <w:rPr>
          <w:rFonts w:hint="eastAsia" w:ascii="仿宋" w:hAnsi="仿宋" w:eastAsia="仿宋" w:cs="仿宋"/>
          <w:bCs/>
          <w:sz w:val="28"/>
          <w:szCs w:val="28"/>
          <w:lang w:val="en-US" w:eastAsia="zh-CN"/>
        </w:rPr>
        <w:t>2-2：</w:t>
      </w:r>
      <w:r>
        <w:rPr>
          <w:rFonts w:hint="eastAsia" w:ascii="仿宋" w:hAnsi="仿宋" w:eastAsia="仿宋" w:cs="仿宋"/>
          <w:bCs/>
          <w:sz w:val="28"/>
          <w:szCs w:val="28"/>
        </w:rPr>
        <w:t>“</w:t>
      </w:r>
      <w:r>
        <w:rPr>
          <w:rFonts w:hint="eastAsia" w:ascii="仿宋" w:hAnsi="仿宋" w:eastAsia="仿宋" w:cs="仿宋"/>
          <w:bCs/>
          <w:sz w:val="28"/>
          <w:szCs w:val="28"/>
          <w:lang w:val="zh-TW" w:eastAsia="zh-CN"/>
        </w:rPr>
        <w:t>临猗县</w:t>
      </w:r>
      <w:r>
        <w:rPr>
          <w:rFonts w:hint="eastAsia" w:ascii="仿宋" w:hAnsi="仿宋" w:eastAsia="仿宋" w:cs="仿宋"/>
          <w:bCs/>
          <w:sz w:val="28"/>
          <w:szCs w:val="28"/>
          <w:lang w:val="zh-TW" w:eastAsia="zh-TW"/>
        </w:rPr>
        <w:t>20</w:t>
      </w:r>
      <w:r>
        <w:rPr>
          <w:rFonts w:hint="eastAsia" w:ascii="仿宋" w:hAnsi="仿宋" w:eastAsia="仿宋" w:cs="仿宋"/>
          <w:bCs/>
          <w:sz w:val="28"/>
          <w:szCs w:val="28"/>
          <w:lang w:val="en-US" w:eastAsia="zh-CN"/>
        </w:rPr>
        <w:t>20</w:t>
      </w:r>
      <w:r>
        <w:rPr>
          <w:rFonts w:hint="eastAsia" w:ascii="仿宋" w:hAnsi="仿宋" w:eastAsia="仿宋" w:cs="仿宋"/>
          <w:bCs/>
          <w:sz w:val="28"/>
          <w:szCs w:val="28"/>
          <w:lang w:val="zh-TW" w:eastAsia="zh-TW"/>
        </w:rPr>
        <w:t>年国家基本公共卫生项目调查问卷</w:t>
      </w:r>
      <w:r>
        <w:rPr>
          <w:rFonts w:hint="eastAsia" w:ascii="仿宋" w:hAnsi="仿宋" w:eastAsia="仿宋" w:cs="仿宋"/>
          <w:bCs/>
          <w:sz w:val="28"/>
          <w:szCs w:val="28"/>
          <w:lang w:val="zh-TW" w:eastAsia="zh-CN"/>
        </w:rPr>
        <w:t>报告</w:t>
      </w:r>
      <w:r>
        <w:rPr>
          <w:rFonts w:hint="eastAsia" w:ascii="仿宋" w:hAnsi="仿宋" w:eastAsia="仿宋" w:cs="仿宋"/>
          <w:bCs/>
          <w:sz w:val="28"/>
          <w:szCs w:val="28"/>
        </w:rPr>
        <w:t>”。</w:t>
      </w:r>
    </w:p>
    <w:bookmarkEnd w:id="259"/>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textAlignment w:val="auto"/>
        <w:outlineLvl w:val="0"/>
        <w:rPr>
          <w:rFonts w:hint="default" w:ascii="仿宋" w:hAnsi="仿宋" w:eastAsia="仿宋" w:cs="仿宋"/>
          <w:b w:val="0"/>
          <w:bCs/>
          <w:kern w:val="2"/>
          <w:sz w:val="28"/>
          <w:szCs w:val="28"/>
          <w:highlight w:val="none"/>
          <w:lang w:val="en-US" w:eastAsia="zh-CN" w:bidi="ar-SA"/>
        </w:rPr>
      </w:pPr>
      <w:bookmarkStart w:id="260" w:name="_Toc19728"/>
      <w:r>
        <w:rPr>
          <w:rFonts w:hint="eastAsia" w:ascii="仿宋" w:hAnsi="仿宋" w:eastAsia="仿宋" w:cs="仿宋"/>
          <w:b w:val="0"/>
          <w:bCs/>
          <w:kern w:val="2"/>
          <w:sz w:val="28"/>
          <w:szCs w:val="28"/>
          <w:highlight w:val="none"/>
          <w:lang w:val="en-US" w:eastAsia="zh-CN" w:bidi="ar-SA"/>
        </w:rPr>
        <w:t>该指标平均满意度在95分及以上的，得满分，低于60分，得0分，满意度在60-95区间，按比例计算得分。本指标得分=（83.14-60）/（95-60）*4=2.64。</w:t>
      </w:r>
      <w:bookmarkEnd w:id="26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textAlignment w:val="auto"/>
        <w:outlineLvl w:val="0"/>
        <w:rPr>
          <w:rFonts w:hint="default" w:ascii="仿宋" w:hAnsi="仿宋" w:eastAsia="仿宋" w:cs="仿宋"/>
          <w:b/>
          <w:bCs w:val="0"/>
          <w:kern w:val="2"/>
          <w:sz w:val="28"/>
          <w:szCs w:val="28"/>
          <w:highlight w:val="none"/>
          <w:lang w:val="en-US" w:eastAsia="zh-CN" w:bidi="ar-SA"/>
        </w:rPr>
      </w:pPr>
      <w:bookmarkStart w:id="261" w:name="_Toc16061"/>
      <w:r>
        <w:rPr>
          <w:rFonts w:hint="eastAsia" w:ascii="仿宋" w:hAnsi="仿宋" w:eastAsia="仿宋" w:cs="仿宋"/>
          <w:b w:val="0"/>
          <w:bCs/>
          <w:kern w:val="2"/>
          <w:sz w:val="28"/>
          <w:szCs w:val="28"/>
          <w:highlight w:val="none"/>
          <w:lang w:val="en-US" w:eastAsia="zh-CN" w:bidi="ar-SA"/>
        </w:rPr>
        <w:t>本指标权重4分，得分2.64分。</w:t>
      </w:r>
      <w:bookmarkEnd w:id="261"/>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outlineLvl w:val="0"/>
        <w:rPr>
          <w:rFonts w:hint="default" w:ascii="仿宋" w:hAnsi="仿宋" w:eastAsia="仿宋" w:cs="仿宋"/>
          <w:b/>
          <w:bCs w:val="0"/>
          <w:kern w:val="2"/>
          <w:sz w:val="28"/>
          <w:szCs w:val="28"/>
          <w:lang w:val="en-US" w:eastAsia="zh-CN" w:bidi="ar-SA"/>
        </w:rPr>
      </w:pPr>
      <w:bookmarkStart w:id="262" w:name="_Toc11552"/>
      <w:bookmarkStart w:id="263" w:name="_Toc27526_WPSOffice_Level1"/>
      <w:r>
        <w:rPr>
          <w:rFonts w:hint="eastAsia" w:ascii="仿宋" w:hAnsi="仿宋" w:eastAsia="仿宋" w:cs="仿宋"/>
          <w:b/>
          <w:bCs w:val="0"/>
          <w:kern w:val="2"/>
          <w:sz w:val="28"/>
          <w:szCs w:val="28"/>
          <w:lang w:val="en-US" w:eastAsia="zh-CN" w:bidi="ar-SA"/>
        </w:rPr>
        <w:t>五、项目主要经验做法</w:t>
      </w:r>
      <w:bookmarkEnd w:id="262"/>
      <w:bookmarkEnd w:id="263"/>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60" w:lineRule="exact"/>
        <w:ind w:left="0" w:right="0" w:firstLine="560"/>
        <w:jc w:val="both"/>
        <w:textAlignment w:val="auto"/>
        <w:rPr>
          <w:rFonts w:hint="eastAsia" w:ascii="仿宋" w:hAnsi="仿宋" w:eastAsia="仿宋" w:cs="仿宋"/>
          <w:i w:val="0"/>
          <w:caps w:val="0"/>
          <w:color w:val="333333"/>
          <w:spacing w:val="0"/>
          <w:sz w:val="28"/>
          <w:szCs w:val="28"/>
        </w:rPr>
      </w:pPr>
      <w:bookmarkStart w:id="264" w:name="_Toc664"/>
      <w:r>
        <w:rPr>
          <w:rFonts w:hint="eastAsia" w:ascii="仿宋" w:hAnsi="仿宋" w:eastAsia="仿宋" w:cs="仿宋"/>
          <w:b w:val="0"/>
          <w:bCs/>
          <w:kern w:val="2"/>
          <w:sz w:val="28"/>
          <w:szCs w:val="28"/>
          <w:highlight w:val="none"/>
          <w:lang w:val="en-US" w:eastAsia="zh-CN" w:bidi="ar-SA"/>
        </w:rPr>
        <w:t>临猗县基本公共卫生服务项目紧紧围绕“保基本、强基层、建机制”的总体要求，积极推进基本公共卫生服务项目的开展，使越来越多的群众成为受益者，城乡居民健康管理取得较好成效。</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60" w:lineRule="exact"/>
        <w:ind w:left="0" w:right="0" w:firstLine="560"/>
        <w:jc w:val="both"/>
        <w:textAlignment w:val="auto"/>
        <w:rPr>
          <w:rFonts w:hint="default" w:ascii="Calibri" w:hAnsi="Calibri" w:eastAsia="仿宋" w:cs="Calibri"/>
          <w:b/>
          <w:bCs/>
          <w:i w:val="0"/>
          <w:caps w:val="0"/>
          <w:color w:val="333333"/>
          <w:spacing w:val="0"/>
          <w:sz w:val="21"/>
          <w:szCs w:val="21"/>
          <w:lang w:val="en-US" w:eastAsia="zh-CN"/>
        </w:rPr>
      </w:pPr>
      <w:r>
        <w:rPr>
          <w:rFonts w:hint="eastAsia" w:ascii="微软雅黑" w:hAnsi="微软雅黑" w:eastAsia="微软雅黑" w:cs="微软雅黑"/>
          <w:i w:val="0"/>
          <w:iCs w:val="0"/>
          <w:caps w:val="0"/>
          <w:color w:val="000000"/>
          <w:spacing w:val="0"/>
          <w:sz w:val="18"/>
          <w:szCs w:val="18"/>
          <w:shd w:val="clear" w:fill="FFFFFF"/>
        </w:rPr>
        <w:t>　</w:t>
      </w:r>
      <w:r>
        <w:rPr>
          <w:rFonts w:ascii="仿宋" w:hAnsi="仿宋" w:eastAsia="仿宋" w:cs="仿宋"/>
          <w:b/>
          <w:bCs/>
          <w:i w:val="0"/>
          <w:caps w:val="0"/>
          <w:color w:val="333333"/>
          <w:spacing w:val="0"/>
          <w:sz w:val="28"/>
          <w:szCs w:val="28"/>
        </w:rPr>
        <w:t>1</w:t>
      </w:r>
      <w:r>
        <w:rPr>
          <w:rFonts w:hint="eastAsia" w:ascii="仿宋" w:hAnsi="仿宋" w:eastAsia="仿宋" w:cs="仿宋"/>
          <w:b/>
          <w:bCs/>
          <w:i w:val="0"/>
          <w:caps w:val="0"/>
          <w:color w:val="333333"/>
          <w:spacing w:val="0"/>
          <w:sz w:val="28"/>
          <w:szCs w:val="28"/>
          <w:lang w:eastAsia="zh-CN"/>
        </w:rPr>
        <w:t>.</w:t>
      </w:r>
      <w:r>
        <w:rPr>
          <w:rFonts w:hint="eastAsia" w:ascii="仿宋" w:hAnsi="仿宋" w:eastAsia="仿宋" w:cs="仿宋"/>
          <w:b/>
          <w:bCs/>
          <w:i w:val="0"/>
          <w:caps w:val="0"/>
          <w:color w:val="333333"/>
          <w:spacing w:val="0"/>
          <w:sz w:val="28"/>
          <w:szCs w:val="28"/>
          <w:lang w:val="en-US" w:eastAsia="zh-CN"/>
        </w:rPr>
        <w:t>职责明确，年度项目任务落实到位</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60" w:lineRule="exact"/>
        <w:ind w:left="0" w:right="0" w:firstLine="560"/>
        <w:jc w:val="left"/>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临猗县卫生健康和体育局制定下发了《临猗县2020年基本公共卫生服务项目实施方案》，明确了医疗集团、各专业公共卫生机构、基层医疗卫生机构、卫健委各相关股室开展2020年基本公卫项目的工作职责；并向各机构下达了2020年基本公共卫生服务项目的工作任务，任务目标明确。各项目实施单位按照《国家基本公共卫生服务规范》（第三版）、《新划入基本公共卫生服务相关工作规范》（2019版）和《临猗县2020年基本公共卫生服务项目实施方案》的相关要求，严格履行工作职责，全面落实完成2020年工作任务。</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60" w:lineRule="exact"/>
        <w:ind w:left="0" w:right="0" w:firstLine="560"/>
        <w:jc w:val="both"/>
        <w:textAlignment w:val="auto"/>
        <w:rPr>
          <w:rFonts w:hint="default" w:ascii="仿宋" w:hAnsi="仿宋" w:eastAsia="仿宋" w:cs="仿宋"/>
          <w:b/>
          <w:bCs/>
          <w:i w:val="0"/>
          <w:caps w:val="0"/>
          <w:color w:val="333333"/>
          <w:spacing w:val="0"/>
          <w:sz w:val="28"/>
          <w:szCs w:val="28"/>
          <w:lang w:val="en-US" w:eastAsia="zh-CN"/>
        </w:rPr>
      </w:pPr>
      <w:r>
        <w:rPr>
          <w:rFonts w:hint="eastAsia" w:ascii="仿宋" w:hAnsi="仿宋" w:eastAsia="仿宋" w:cs="仿宋"/>
          <w:b/>
          <w:bCs/>
          <w:i w:val="0"/>
          <w:caps w:val="0"/>
          <w:color w:val="333333"/>
          <w:spacing w:val="0"/>
          <w:sz w:val="28"/>
          <w:szCs w:val="28"/>
        </w:rPr>
        <w:t>2</w:t>
      </w:r>
      <w:r>
        <w:rPr>
          <w:rFonts w:hint="eastAsia" w:ascii="仿宋" w:hAnsi="仿宋" w:eastAsia="仿宋" w:cs="仿宋"/>
          <w:b/>
          <w:bCs/>
          <w:i w:val="0"/>
          <w:caps w:val="0"/>
          <w:color w:val="333333"/>
          <w:spacing w:val="0"/>
          <w:sz w:val="28"/>
          <w:szCs w:val="28"/>
          <w:lang w:eastAsia="zh-CN"/>
        </w:rPr>
        <w:t>.</w:t>
      </w:r>
      <w:r>
        <w:rPr>
          <w:rFonts w:hint="eastAsia" w:ascii="仿宋" w:hAnsi="仿宋" w:eastAsia="仿宋" w:cs="仿宋"/>
          <w:b/>
          <w:bCs/>
          <w:i w:val="0"/>
          <w:caps w:val="0"/>
          <w:color w:val="333333"/>
          <w:spacing w:val="0"/>
          <w:sz w:val="28"/>
          <w:szCs w:val="28"/>
          <w:lang w:val="en-US" w:eastAsia="zh-CN"/>
        </w:rPr>
        <w:t>项目管理制度完善，运行</w:t>
      </w:r>
      <w:r>
        <w:rPr>
          <w:rFonts w:hint="eastAsia" w:ascii="仿宋" w:hAnsi="仿宋" w:eastAsia="仿宋" w:cs="仿宋"/>
          <w:b/>
          <w:bCs/>
          <w:i w:val="0"/>
          <w:caps w:val="0"/>
          <w:color w:val="333333"/>
          <w:spacing w:val="0"/>
          <w:sz w:val="28"/>
          <w:szCs w:val="28"/>
        </w:rPr>
        <w:t>规范</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60" w:lineRule="exact"/>
        <w:ind w:left="0" w:right="0" w:firstLine="560"/>
        <w:jc w:val="left"/>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临猗县基本公卫工作在中央、省、市级相关部门领导下，不断完善项目管理制度，优化服务内涵。为了提高项目实施的科学性和有效性，临猗县基本公卫各级机构已完成了包括服务范围、服务要求、服务内容、服务流程、操作规范、绩效考核、职责分工、业务指导、业务宣传、业务培训、监管评价、资金管理等内容的标准化管理体系建设。各基层服务机构在项目实施中能够按照标准规范体系开展工作，现已基本形成以制度强化管理、以考核促进提高的的长效机制。</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60" w:leftChars="0" w:right="0" w:rightChars="0"/>
        <w:jc w:val="both"/>
        <w:textAlignment w:val="auto"/>
        <w:rPr>
          <w:rFonts w:hint="eastAsia" w:ascii="仿宋" w:hAnsi="仿宋" w:eastAsia="仿宋" w:cs="仿宋"/>
          <w:b/>
          <w:bCs/>
          <w:i w:val="0"/>
          <w:caps w:val="0"/>
          <w:color w:val="333333"/>
          <w:spacing w:val="0"/>
          <w:sz w:val="28"/>
          <w:szCs w:val="28"/>
          <w:lang w:val="en-US" w:eastAsia="zh-CN"/>
        </w:rPr>
      </w:pPr>
      <w:r>
        <w:rPr>
          <w:rFonts w:hint="eastAsia" w:ascii="仿宋" w:hAnsi="仿宋" w:eastAsia="仿宋" w:cs="仿宋"/>
          <w:b/>
          <w:bCs/>
          <w:i w:val="0"/>
          <w:caps w:val="0"/>
          <w:color w:val="333333"/>
          <w:spacing w:val="0"/>
          <w:sz w:val="28"/>
          <w:szCs w:val="28"/>
          <w:lang w:val="en-US" w:eastAsia="zh-CN"/>
        </w:rPr>
        <w:t>3.强化项目绩效考核、问题整改落实到位</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60" w:lineRule="exact"/>
        <w:ind w:left="0" w:right="0" w:firstLine="560"/>
        <w:jc w:val="left"/>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临猗县基本公共卫生服务项目实行乡、村两级考核管理。临猗县卫生健康和体育局主要以乡镇卫生院为考核对象，每半年组织一次。2020年8月和2021年2月临猗县卫生健康和体育局分别组织公共卫生专业技术人员对各基层实施单位进行了半年和年终基本公共卫生服务项目绩效评价。对评价中发现的问题下发督导通报，提出整改意见，并采取“回头看”的工作模式督促问题整改落实。年终依据年度绩效评价结果与各基层机构进行项目资金结算，有效推动了项目的规范实施、提高了资金的使用效率。</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60" w:lineRule="exact"/>
        <w:ind w:left="0" w:right="0" w:firstLine="560"/>
        <w:jc w:val="left"/>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为强化村卫生室工作监督管理，各乡镇卫生院均制定了村级卫生室考核制度，按季考核，并将考核结果作为工作经费结算依据。</w:t>
      </w:r>
    </w:p>
    <w:bookmarkEnd w:id="264"/>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leftChars="0" w:right="0" w:rightChars="0" w:firstLine="562" w:firstLineChars="200"/>
        <w:jc w:val="both"/>
        <w:textAlignment w:val="auto"/>
        <w:rPr>
          <w:rFonts w:hint="eastAsia" w:ascii="仿宋" w:hAnsi="仿宋" w:eastAsia="仿宋" w:cs="仿宋"/>
          <w:b/>
          <w:bCs w:val="0"/>
          <w:kern w:val="2"/>
          <w:sz w:val="28"/>
          <w:szCs w:val="28"/>
          <w:highlight w:val="none"/>
          <w:lang w:val="en-US" w:eastAsia="zh-CN" w:bidi="ar-SA"/>
        </w:rPr>
      </w:pPr>
      <w:bookmarkStart w:id="265" w:name="_Toc23193"/>
      <w:r>
        <w:rPr>
          <w:rFonts w:hint="eastAsia" w:ascii="仿宋" w:hAnsi="仿宋" w:eastAsia="仿宋" w:cs="仿宋"/>
          <w:b/>
          <w:bCs w:val="0"/>
          <w:kern w:val="2"/>
          <w:sz w:val="28"/>
          <w:szCs w:val="28"/>
          <w:highlight w:val="none"/>
          <w:lang w:val="en-US" w:eastAsia="zh-CN" w:bidi="ar-SA"/>
        </w:rPr>
        <w:t>六、项目实施及管理过程中存在的主要问题及原因分析</w:t>
      </w:r>
      <w:bookmarkEnd w:id="208"/>
      <w:bookmarkEnd w:id="26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562" w:firstLineChars="200"/>
        <w:textAlignment w:val="auto"/>
        <w:outlineLvl w:val="0"/>
        <w:rPr>
          <w:rFonts w:hint="eastAsia" w:ascii="仿宋" w:hAnsi="仿宋" w:eastAsia="仿宋" w:cs="仿宋"/>
          <w:b/>
          <w:bCs w:val="0"/>
          <w:kern w:val="2"/>
          <w:sz w:val="28"/>
          <w:szCs w:val="28"/>
          <w:highlight w:val="none"/>
          <w:lang w:val="en-US" w:eastAsia="zh-CN" w:bidi="ar-SA"/>
        </w:rPr>
      </w:pPr>
      <w:bookmarkStart w:id="266" w:name="_Toc18520_WPSOffice_Level1"/>
      <w:bookmarkStart w:id="267" w:name="_Toc15258"/>
      <w:r>
        <w:rPr>
          <w:rFonts w:hint="eastAsia" w:ascii="仿宋" w:hAnsi="仿宋" w:eastAsia="仿宋" w:cs="仿宋"/>
          <w:b/>
          <w:bCs w:val="0"/>
          <w:kern w:val="2"/>
          <w:sz w:val="28"/>
          <w:szCs w:val="28"/>
          <w:highlight w:val="none"/>
          <w:lang w:val="en-US" w:eastAsia="zh-CN" w:bidi="ar-SA"/>
        </w:rPr>
        <w:t>（一）项目基础数据申报缺乏统一性、严谨性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1.辖区常住人口信息误差较大</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840" w:firstLineChars="30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2020年临猗县基本公卫项目申请资金时的常住人口数为    595476人，但经过2020年全国第七次人口普查，截止2020年11月1日临猗县常住人口数现为482559人，常住人口相差11万余人；2020年申报65万以上老年人摸底人数为65319人，但人口普查后65岁及以上老年人为73607人，相差8288人。</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2" w:firstLineChars="200"/>
        <w:textAlignment w:val="auto"/>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2.部分项目年度任务指标完成数据不实</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1"/>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现场评价中，每个卫生院我们随机抽查40份老年人健康管理和慢病随访档案进行查看，其中有30份档案下村核查，我们发现：猗氏、庙上、北景档案中各有1名核查对象实际未进行体检；中医院老年健康管理花名册中有80余人年龄在65岁以下；北景卫生院老年人健康体检表中有40余人年龄在65岁以下，且名单中有个别身份证号重复的情况（如尚梨花）。</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3.项目基本数据统计缺乏规范性及统一性</w:t>
      </w:r>
    </w:p>
    <w:p>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基本公卫项目涉及的子项目较多，需向上级部门及专业指导机构报送的报表数据较多，在评价中我们发现，部分项目数据在不同的部门或不同的报表中出现了不同的数字，如：因统计截止时间不同，全县2020年活产数，妇幼部门是3463人、公卫报表是3586人、孕产妇妇健康管理考核报告中是3589人；卫体局年终绩效评价报告中65岁及以上老年人摸底数为65319人，但中医药健康管理中65岁及以上老年人为62305人；在抽取的5家基层机构中，各家对于老年人健康管理率中“年内辖区内65负及以上常住居民数”的来源数据均不同，有的使用摸底数、有的使用建档数、有的按档案的一定百分比计算；各卫生院儿保、妇保管理项目每月上报临猗妇幼院的数据与上报卫体局的基本公卫报表数据每月均不一致。</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562" w:firstLineChars="200"/>
        <w:textAlignment w:val="auto"/>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(二）居民健康档案管理不够规范、档案信息不能共享使用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560" w:firstLineChars="200"/>
        <w:jc w:val="both"/>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经全国人口普查后临猗县现有常住人口482559人，但在评价中我们得知截止2020年末临猗县已</w:t>
      </w:r>
      <w:r>
        <w:rPr>
          <w:rFonts w:hint="default" w:ascii="仿宋" w:hAnsi="仿宋" w:eastAsia="仿宋" w:cs="仿宋"/>
          <w:b w:val="0"/>
          <w:bCs/>
          <w:kern w:val="2"/>
          <w:sz w:val="28"/>
          <w:szCs w:val="28"/>
          <w:highlight w:val="none"/>
          <w:lang w:val="en-US" w:eastAsia="zh-CN" w:bidi="ar-SA"/>
        </w:rPr>
        <w:t>建立电子健康档案人数</w:t>
      </w:r>
      <w:r>
        <w:rPr>
          <w:rFonts w:hint="eastAsia" w:ascii="仿宋" w:hAnsi="仿宋" w:eastAsia="仿宋" w:cs="仿宋"/>
          <w:b w:val="0"/>
          <w:bCs/>
          <w:kern w:val="2"/>
          <w:sz w:val="28"/>
          <w:szCs w:val="28"/>
          <w:highlight w:val="none"/>
          <w:lang w:val="en-US" w:eastAsia="zh-CN" w:bidi="ar-SA"/>
        </w:rPr>
        <w:t>为</w:t>
      </w:r>
      <w:r>
        <w:rPr>
          <w:rFonts w:hint="default" w:ascii="仿宋" w:hAnsi="仿宋" w:eastAsia="仿宋" w:cs="仿宋"/>
          <w:b w:val="0"/>
          <w:bCs/>
          <w:kern w:val="2"/>
          <w:sz w:val="28"/>
          <w:szCs w:val="28"/>
          <w:highlight w:val="none"/>
          <w:lang w:val="en-US" w:eastAsia="zh-CN" w:bidi="ar-SA"/>
        </w:rPr>
        <w:t>547038</w:t>
      </w:r>
      <w:r>
        <w:rPr>
          <w:rFonts w:hint="eastAsia" w:ascii="仿宋" w:hAnsi="仿宋" w:eastAsia="仿宋" w:cs="仿宋"/>
          <w:b w:val="0"/>
          <w:bCs/>
          <w:kern w:val="2"/>
          <w:sz w:val="28"/>
          <w:szCs w:val="28"/>
          <w:highlight w:val="none"/>
          <w:lang w:val="en-US" w:eastAsia="zh-CN" w:bidi="ar-SA"/>
        </w:rPr>
        <w:t>人，而且临猗县中医院所管理的辖区现有3万余人尚未建立电子健康档案，可知已建立的电子建康档案中应终止或清理的档案约有10万余份，在评价中我们发现各基层机构的档案均未能及时进行清理。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已建立的电子健康档案信息尚未向居民开放、尚不能对外共享使用，发挥不出建立电子建康档案的初始作用。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（三）部分项目未完成年度目标任务</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2"/>
        <w:jc w:val="both"/>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从现场评价中，我们发现基本公卫项目服务对象群体庞大，平均每名公卫人员需服务约400-500名左右的常住居民，但基层专业的基本公卫人员紧缺，尤其缺少中医、儿保、妇保等专业特色医务人员，服务人员工作任务繁重，加之基层卫生院医用设备短缺等方面原因，使卫生院服务功能相对弱化，群众常见病、多发病的诊疗和基本公共卫生服务质量得不到有效保障。具体项目实施中存在的问题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1.部分项目完成数量未达预期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我们抽查的5家基层公卫服务机构中，中医院服务辖区的0-3岁儿童中医院健康管理未实施、老年人中医药健康管理率完成为40.82%未达到80%的要求；全县高血压规范管理率实际完成为56.75%未到65%的要求；建康档案动态使用率完成56.02%未到70%的要求；猗氏、庙上、北景的早孕建册率完成均未达到90%的要求。</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2" w:firstLineChars="200"/>
        <w:jc w:val="both"/>
        <w:textAlignment w:val="auto"/>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2.部分项目完成质量未达预期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猗氏、牛杜的新生儿访视和产妇访视工作均由村级卫生室完成，受村卫生室工作人员业务水平限制，访视工作质量未能完全达到服务规范的要求；中医院基本公卫工作人员仅为4名，慢病随访工作大部分通过电话随访完成，未能达到面对面随访的要求；抽查中4家卫生院的中医药健康管理完成数量虽很高，但通过查看档案发现存在部分人员体质辨识错误、服务对象对中医药健康管理内容知晓率低的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（四）绩效指标不完整，项目考核内容不全面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sz w:val="28"/>
          <w:szCs w:val="28"/>
          <w:lang w:val="en-US" w:eastAsia="zh-CN"/>
        </w:rPr>
      </w:pPr>
      <w:r>
        <w:rPr>
          <w:rFonts w:hint="eastAsia" w:ascii="仿宋" w:hAnsi="仿宋" w:eastAsia="仿宋" w:cs="仿宋"/>
          <w:b w:val="0"/>
          <w:bCs/>
          <w:sz w:val="28"/>
          <w:szCs w:val="28"/>
          <w:highlight w:val="none"/>
          <w:lang w:val="en-US" w:eastAsia="zh-CN"/>
        </w:rPr>
        <w:t>2019年基本公共卫生服务项目在原来12项内容的基础上，将原</w:t>
      </w:r>
      <w:r>
        <w:rPr>
          <w:rFonts w:hint="eastAsia" w:ascii="仿宋" w:hAnsi="仿宋" w:eastAsia="仿宋" w:cs="仿宋"/>
          <w:bCs/>
          <w:sz w:val="28"/>
          <w:szCs w:val="28"/>
          <w:highlight w:val="none"/>
          <w:lang w:val="en-US" w:eastAsia="zh-CN"/>
        </w:rPr>
        <w:t>重大公共卫生服务和计划生育项目中的妇幼卫生、老年健康服务、医养结合、卫生应急、孕前检查等内容纳入基本公共卫生服务。但</w:t>
      </w:r>
      <w:r>
        <w:rPr>
          <w:rFonts w:hint="eastAsia" w:ascii="仿宋" w:hAnsi="仿宋" w:eastAsia="仿宋" w:cs="仿宋"/>
          <w:b w:val="0"/>
          <w:bCs/>
          <w:sz w:val="28"/>
          <w:szCs w:val="28"/>
          <w:lang w:val="en-US" w:eastAsia="zh-CN"/>
        </w:rPr>
        <w:t>《</w:t>
      </w:r>
      <w:r>
        <w:rPr>
          <w:rFonts w:hint="eastAsia" w:ascii="仿宋" w:hAnsi="仿宋" w:eastAsia="仿宋" w:cs="仿宋"/>
          <w:b w:val="0"/>
          <w:bCs/>
          <w:sz w:val="28"/>
          <w:szCs w:val="28"/>
          <w:highlight w:val="none"/>
          <w:lang w:val="en-US" w:eastAsia="zh-CN"/>
        </w:rPr>
        <w:t>临猗县2020年基本公共</w:t>
      </w:r>
      <w:r>
        <w:rPr>
          <w:rFonts w:hint="eastAsia" w:ascii="仿宋" w:hAnsi="仿宋" w:eastAsia="仿宋" w:cs="仿宋"/>
          <w:b w:val="0"/>
          <w:bCs/>
          <w:sz w:val="28"/>
          <w:szCs w:val="28"/>
          <w:highlight w:val="none"/>
          <w:u w:val="single"/>
          <w:lang w:val="en-US" w:eastAsia="zh-CN"/>
        </w:rPr>
        <w:t>卫</w:t>
      </w:r>
      <w:r>
        <w:rPr>
          <w:rFonts w:hint="eastAsia" w:ascii="仿宋" w:hAnsi="仿宋" w:eastAsia="仿宋" w:cs="仿宋"/>
          <w:b w:val="0"/>
          <w:bCs/>
          <w:sz w:val="28"/>
          <w:szCs w:val="28"/>
          <w:highlight w:val="none"/>
          <w:lang w:val="en-US" w:eastAsia="zh-CN"/>
        </w:rPr>
        <w:t>生服务项目实施方案</w:t>
      </w:r>
      <w:r>
        <w:rPr>
          <w:rFonts w:hint="eastAsia" w:ascii="仿宋" w:hAnsi="仿宋" w:eastAsia="仿宋" w:cs="仿宋"/>
          <w:b w:val="0"/>
          <w:bCs/>
          <w:sz w:val="28"/>
          <w:szCs w:val="28"/>
          <w:lang w:val="en-US" w:eastAsia="zh-CN"/>
        </w:rPr>
        <w:t>》中项目工作内容及任务指标设置仍为原12项目服务内容，未包括新划入基本公共卫生服务项目。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临猗县2020年基本公卫项目年终绩效评价时，未组织专业人员对新划入基本公共卫生服务项目进行评价；未评价临猗县城区基本公卫实施单位的慢性病健康管理情况。</w:t>
      </w:r>
    </w:p>
    <w:p>
      <w:pPr>
        <w:pStyle w:val="31"/>
        <w:spacing w:line="560" w:lineRule="exact"/>
        <w:ind w:firstLine="562"/>
        <w:rPr>
          <w:rFonts w:hint="eastAsia"/>
          <w:b/>
          <w:lang w:val="en-US" w:eastAsia="zh-CN"/>
        </w:rPr>
      </w:pPr>
      <w:r>
        <w:rPr>
          <w:rFonts w:hint="eastAsia"/>
          <w:b/>
          <w:lang w:val="en-US" w:eastAsia="zh-CN"/>
        </w:rPr>
        <w:t>（五）财务管理不规范，财务监管程序执行不到位</w:t>
      </w:r>
    </w:p>
    <w:p>
      <w:pPr>
        <w:pStyle w:val="31"/>
        <w:spacing w:line="560" w:lineRule="exact"/>
        <w:ind w:firstLine="562"/>
        <w:rPr>
          <w:rFonts w:hint="eastAsia"/>
          <w:b/>
          <w:bCs w:val="0"/>
          <w:lang w:val="en-US" w:eastAsia="zh-CN"/>
        </w:rPr>
      </w:pPr>
      <w:r>
        <w:rPr>
          <w:rFonts w:hint="eastAsia"/>
          <w:b/>
          <w:bCs w:val="0"/>
          <w:lang w:val="en-US" w:eastAsia="zh-CN"/>
        </w:rPr>
        <w:t>1.预算执行进度缓慢，各基层机构2020年项目资金尚未最终结算</w:t>
      </w:r>
    </w:p>
    <w:p>
      <w:pPr>
        <w:pStyle w:val="31"/>
        <w:spacing w:line="560" w:lineRule="exact"/>
        <w:ind w:firstLine="562"/>
        <w:rPr>
          <w:rFonts w:hint="default"/>
          <w:b/>
          <w:bCs w:val="0"/>
          <w:lang w:val="en-US" w:eastAsia="zh-CN"/>
        </w:rPr>
      </w:pPr>
      <w:r>
        <w:rPr>
          <w:rFonts w:hint="eastAsia" w:ascii="仿宋" w:hAnsi="仿宋" w:eastAsia="仿宋" w:cs="仿宋"/>
          <w:b w:val="0"/>
          <w:bCs/>
          <w:sz w:val="28"/>
          <w:szCs w:val="28"/>
          <w:lang w:val="en-US" w:eastAsia="zh-CN"/>
        </w:rPr>
        <w:t>项目预算实际到位资金为</w:t>
      </w:r>
      <w:r>
        <w:rPr>
          <w:rFonts w:hint="eastAsia" w:ascii="仿宋" w:hAnsi="仿宋" w:eastAsia="仿宋" w:cs="仿宋"/>
          <w:bCs/>
          <w:sz w:val="28"/>
          <w:szCs w:val="28"/>
          <w:lang w:val="en-US" w:eastAsia="zh-CN"/>
        </w:rPr>
        <w:t>4176.39</w:t>
      </w:r>
      <w:r>
        <w:rPr>
          <w:rFonts w:hint="eastAsia" w:ascii="仿宋" w:hAnsi="仿宋" w:eastAsia="仿宋" w:cs="仿宋"/>
          <w:bCs/>
          <w:sz w:val="28"/>
          <w:szCs w:val="28"/>
          <w:highlight w:val="none"/>
          <w:lang w:eastAsia="zh-CN" w:bidi="ar"/>
        </w:rPr>
        <w:t>万元，</w:t>
      </w:r>
      <w:r>
        <w:rPr>
          <w:rFonts w:hint="eastAsia" w:ascii="仿宋" w:hAnsi="仿宋" w:eastAsia="仿宋" w:cs="仿宋"/>
          <w:bCs/>
          <w:sz w:val="28"/>
          <w:szCs w:val="28"/>
          <w:highlight w:val="none"/>
          <w:lang w:val="en-US" w:eastAsia="zh-CN" w:bidi="ar"/>
        </w:rPr>
        <w:t>截止绩效评价日</w:t>
      </w:r>
      <w:r>
        <w:rPr>
          <w:rFonts w:hint="eastAsia" w:ascii="仿宋" w:hAnsi="仿宋" w:eastAsia="仿宋" w:cs="仿宋"/>
          <w:b w:val="0"/>
          <w:bCs/>
          <w:sz w:val="28"/>
          <w:szCs w:val="28"/>
          <w:highlight w:val="none"/>
          <w:lang w:val="en-US" w:eastAsia="zh-CN"/>
        </w:rPr>
        <w:t>实际支付为</w:t>
      </w:r>
      <w:r>
        <w:rPr>
          <w:rFonts w:hint="eastAsia" w:ascii="仿宋" w:hAnsi="仿宋" w:eastAsia="仿宋" w:cs="仿宋"/>
          <w:bCs/>
          <w:sz w:val="28"/>
          <w:szCs w:val="28"/>
          <w:highlight w:val="none"/>
          <w:lang w:val="en-US" w:eastAsia="zh-CN" w:bidi="ar"/>
        </w:rPr>
        <w:t>3673.92</w:t>
      </w:r>
      <w:r>
        <w:rPr>
          <w:rFonts w:hint="eastAsia" w:ascii="仿宋" w:hAnsi="仿宋" w:eastAsia="仿宋" w:cs="仿宋"/>
          <w:b w:val="0"/>
          <w:bCs/>
          <w:sz w:val="28"/>
          <w:szCs w:val="28"/>
          <w:highlight w:val="none"/>
          <w:lang w:val="en-US" w:eastAsia="zh-CN"/>
        </w:rPr>
        <w:t>万元，预算执行率为87.97%，2020年项目尚有502.47万元资金未进行结算、分配。</w:t>
      </w:r>
    </w:p>
    <w:p>
      <w:pPr>
        <w:pStyle w:val="31"/>
        <w:spacing w:line="560" w:lineRule="exact"/>
        <w:ind w:firstLine="562"/>
        <w:rPr>
          <w:rFonts w:hint="default"/>
          <w:b w:val="0"/>
          <w:bCs/>
          <w:lang w:val="en-US" w:eastAsia="zh-CN"/>
        </w:rPr>
      </w:pPr>
      <w:r>
        <w:rPr>
          <w:rFonts w:hint="eastAsia"/>
          <w:b/>
          <w:bCs w:val="0"/>
          <w:lang w:val="en-US" w:eastAsia="zh-CN"/>
        </w:rPr>
        <w:t>2.专项资金使用不规范</w:t>
      </w:r>
    </w:p>
    <w:p>
      <w:pPr>
        <w:pStyle w:val="2"/>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基本公卫补助资金使用时，未能严格按照</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基本公共卫生服务补助资金管理办法</w:t>
      </w:r>
      <w:r>
        <w:rPr>
          <w:rFonts w:hint="eastAsia" w:ascii="仿宋" w:hAnsi="仿宋" w:eastAsia="仿宋" w:cs="仿宋"/>
          <w:sz w:val="28"/>
          <w:szCs w:val="28"/>
          <w:highlight w:val="none"/>
          <w:lang w:eastAsia="zh-CN"/>
        </w:rPr>
        <w:t>》的相关规定进行财务核算，</w:t>
      </w:r>
      <w:r>
        <w:rPr>
          <w:rFonts w:hint="eastAsia" w:ascii="仿宋" w:hAnsi="仿宋" w:eastAsia="仿宋" w:cs="仿宋"/>
          <w:sz w:val="28"/>
          <w:szCs w:val="28"/>
          <w:highlight w:val="none"/>
          <w:lang w:val="en-US" w:eastAsia="zh-CN"/>
        </w:rPr>
        <w:t>具体如下：</w:t>
      </w:r>
    </w:p>
    <w:p>
      <w:pPr>
        <w:pStyle w:val="2"/>
        <w:keepNext w:val="0"/>
        <w:keepLines w:val="0"/>
        <w:pageBreakBefore w:val="0"/>
        <w:widowControl w:val="0"/>
        <w:kinsoku/>
        <w:wordWrap/>
        <w:overflowPunct/>
        <w:topLinePunct w:val="0"/>
        <w:autoSpaceDE/>
        <w:autoSpaceDN/>
        <w:bidi w:val="0"/>
        <w:adjustRightInd/>
        <w:snapToGrid/>
        <w:spacing w:after="0"/>
        <w:ind w:firstLine="562" w:firstLineChars="200"/>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bCs w:val="0"/>
          <w:sz w:val="28"/>
          <w:szCs w:val="28"/>
          <w:highlight w:val="none"/>
          <w:lang w:val="en-US" w:eastAsia="zh-CN"/>
        </w:rPr>
        <w:t>超范围列支基本公卫支出</w:t>
      </w:r>
      <w:r>
        <w:rPr>
          <w:rFonts w:hint="eastAsia" w:ascii="仿宋" w:hAnsi="仿宋" w:eastAsia="仿宋" w:cs="仿宋"/>
          <w:b w:val="0"/>
          <w:bCs/>
          <w:sz w:val="28"/>
          <w:szCs w:val="28"/>
          <w:highlight w:val="none"/>
          <w:lang w:val="en-US" w:eastAsia="zh-CN"/>
        </w:rPr>
        <w:t>，如：北景列支二类疫苗支出82,490.00元；庙上支付住院部房屋维修费、床单、枕套、报刊等与公卫无关的支出28,073.00元；猗氏列支二类疫苗支出255,621.00元；妇幼院在基本公卫项目中列支非公卫项目使用的化验检验材料款67,000.00元（如甲胎蛋白）。</w:t>
      </w:r>
    </w:p>
    <w:p>
      <w:pPr>
        <w:pStyle w:val="2"/>
        <w:keepNext w:val="0"/>
        <w:keepLines w:val="0"/>
        <w:pageBreakBefore w:val="0"/>
        <w:widowControl w:val="0"/>
        <w:kinsoku/>
        <w:wordWrap/>
        <w:overflowPunct/>
        <w:topLinePunct w:val="0"/>
        <w:autoSpaceDE/>
        <w:autoSpaceDN/>
        <w:bidi w:val="0"/>
        <w:adjustRightInd/>
        <w:snapToGrid/>
        <w:spacing w:after="0"/>
        <w:ind w:firstLine="562" w:firstLineChars="200"/>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bCs w:val="0"/>
          <w:sz w:val="28"/>
          <w:szCs w:val="28"/>
          <w:highlight w:val="none"/>
          <w:lang w:val="en-US" w:eastAsia="zh-CN"/>
        </w:rPr>
        <w:t>提前列支下年度费用</w:t>
      </w:r>
      <w:r>
        <w:rPr>
          <w:rFonts w:hint="eastAsia" w:ascii="仿宋" w:hAnsi="仿宋" w:eastAsia="仿宋" w:cs="仿宋"/>
          <w:b w:val="0"/>
          <w:bCs/>
          <w:sz w:val="28"/>
          <w:szCs w:val="28"/>
          <w:highlight w:val="none"/>
          <w:lang w:val="en-US" w:eastAsia="zh-CN"/>
        </w:rPr>
        <w:t>，如：临猗县卫生监督所2020年12月列支协管员2021年1-6月工资33,600.00元。</w:t>
      </w:r>
    </w:p>
    <w:p>
      <w:pPr>
        <w:pStyle w:val="2"/>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临猗县2020年基本公共卫生服务项目实施方案》要求：明确乡村两级任务分工，根据村卫生室服务能力，将40%以上的工作任务量交由村卫生室承担，村卫生室项目服务补助经费总额不低于乡镇补助经费总额的40%，但从现场查看4家乡镇卫生院来看，各卫生院对本辖区卫生室的基本公卫资金补助均未达到40%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七、下一步改进</w:t>
      </w:r>
      <w:bookmarkEnd w:id="266"/>
      <w:r>
        <w:rPr>
          <w:rFonts w:hint="eastAsia" w:ascii="仿宋" w:hAnsi="仿宋" w:eastAsia="仿宋" w:cs="仿宋"/>
          <w:b/>
          <w:bCs w:val="0"/>
          <w:kern w:val="2"/>
          <w:sz w:val="28"/>
          <w:szCs w:val="28"/>
          <w:highlight w:val="none"/>
          <w:lang w:val="en-US" w:eastAsia="zh-CN" w:bidi="ar-SA"/>
        </w:rPr>
        <w:t>建议</w:t>
      </w:r>
      <w:bookmarkEnd w:id="267"/>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bookmarkStart w:id="268" w:name="_Toc6825_WPSOffice_Level1"/>
      <w:bookmarkStart w:id="269" w:name="_Toc26642"/>
      <w:r>
        <w:rPr>
          <w:rFonts w:hint="eastAsia" w:ascii="仿宋" w:hAnsi="仿宋" w:eastAsia="仿宋" w:cs="仿宋"/>
          <w:b/>
          <w:bCs w:val="0"/>
          <w:kern w:val="2"/>
          <w:sz w:val="28"/>
          <w:szCs w:val="28"/>
          <w:highlight w:val="none"/>
          <w:lang w:val="en-US" w:eastAsia="zh-CN" w:bidi="ar-SA"/>
        </w:rPr>
        <w:t>（一）推进人口监测项目实施，核实辖区人口数量，规范档案管理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结合全国第七次人口普查结果，按照《新划入基本公共卫生服务相关工作规范》要求，积极推动人口监测项目的实施，核实辖区常住人口数量，以利于更科学、有效的开展基本公共卫生服务项目。</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 xml:space="preserve">    建议在人口核实的基础上，进行一次居民电子健康档案清理活动，对已迁出和长期不更新的档案进行彻底清理，夯实辖区健康档案建档情况，为居民电子健康档案逐步对外开放打下良好的基础。</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（二）数据上报统一口径，提高数据准确度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基本公卫监管部门应统一规范上报数据的截止时点、数据来源、计算要求、基本取数表格样式等内容，提高相同项目报出数据的一致性及不同项目数据的关联性。</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textAlignment w:val="auto"/>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（三）创新考核机制，加强队伍建设，提升项目完成情况</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基本公卫项目服务的群体大部分是老年人和儿童，在现场评价中，不论是电话回访还是下村核查，失访率均很高，为提升项目完成的质量，建议可以尝试项目事中考核，组织专业力量参与到实施单位的老年人健康体检、中医药管理、慢病回访等项目实施中；或各基层实施机构之间交叉监督项目实施，以保证项目完成的真实度。</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加强村级卫生室儿保、妇保专业技术的培训；对新生儿、产妇访视应出具统一的访视通知书，明确列出规范要求的管理内容，并口头告知被服务对象，且服务结果由被服务对象确认，以保证项目实施质量；建议适当扩充孕产妇管理的专业人才，村卫生室确实无法完成的孕产妇管理工作，应由卫生院妇保专业人员承担完成，确保孕产妇健康管理的顺利实施。</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转变及创新服务理念，提高基层医疗人员的服务意识。基层医务人员要认识到开展医疗卫生服务不是指令性的、被动性的、单一性的，要积极走到村民身边提供服务，用村民喜闻乐见的形式开展服务，项目开展要从量的积累走向质的飞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（四）完善绩效目标设置内容，提高项目绩效评价范围</w:t>
      </w:r>
    </w:p>
    <w:p>
      <w:pPr>
        <w:pStyle w:val="2"/>
        <w:keepNext w:val="0"/>
        <w:keepLines w:val="0"/>
        <w:pageBreakBefore w:val="0"/>
        <w:widowControl w:val="0"/>
        <w:kinsoku/>
        <w:wordWrap/>
        <w:overflowPunct/>
        <w:topLinePunct w:val="0"/>
        <w:autoSpaceDE/>
        <w:autoSpaceDN/>
        <w:bidi w:val="0"/>
        <w:adjustRightInd/>
        <w:snapToGrid/>
        <w:spacing w:after="0"/>
        <w:ind w:firstLine="561"/>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建议将《新划入基本公共卫生服务相关工作规范》中的项目内容加入2021年基本公共卫生服务项目实施方案，明确现有基本公卫所有项目的工作内容及年度任务目标，以便于基本公卫项目逐步统一管理、统一考核；依据人员配置、服务群体数量、资金数量等合理设置各项目绩效指标，强化绩效指标的可实现性、合理性。</w:t>
      </w:r>
    </w:p>
    <w:p>
      <w:pPr>
        <w:pStyle w:val="2"/>
        <w:keepNext w:val="0"/>
        <w:keepLines w:val="0"/>
        <w:pageBreakBefore w:val="0"/>
        <w:widowControl w:val="0"/>
        <w:kinsoku/>
        <w:wordWrap/>
        <w:overflowPunct/>
        <w:topLinePunct w:val="0"/>
        <w:autoSpaceDE/>
        <w:autoSpaceDN/>
        <w:bidi w:val="0"/>
        <w:adjustRightInd/>
        <w:snapToGrid/>
        <w:spacing w:after="0"/>
        <w:ind w:firstLine="561"/>
        <w:textAlignment w:val="auto"/>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建议将《新划入基本公共卫生服务相关工作规范》中的项目加入2022年基本公卫项目绩效考核方案，会同当地财政部门，同时进行项目年度绩效评价，及时对外公布绩效评价结果。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（五）规范财务核算，加强财务监管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sz w:val="28"/>
          <w:szCs w:val="28"/>
          <w:lang w:val="en-US" w:eastAsia="zh-CN"/>
        </w:rPr>
        <w:t xml:space="preserve"> 加强《基本公共卫生服务补助资金管理办法》的学习</w:t>
      </w:r>
      <w:r>
        <w:rPr>
          <w:rFonts w:hint="eastAsia" w:ascii="Calibri" w:hAnsi="Calibri" w:eastAsia="仿宋" w:cs="Calibri"/>
          <w:kern w:val="2"/>
          <w:sz w:val="28"/>
          <w:szCs w:val="28"/>
          <w:lang w:val="en-US" w:eastAsia="zh-CN" w:bidi="ar-SA"/>
        </w:rPr>
        <w:t>；各基层单位应严格按照资金管理办法相关规定</w:t>
      </w:r>
      <w:r>
        <w:rPr>
          <w:rFonts w:hint="eastAsia" w:ascii="仿宋" w:hAnsi="仿宋" w:eastAsia="仿宋" w:cs="仿宋"/>
          <w:sz w:val="28"/>
          <w:szCs w:val="28"/>
          <w:lang w:eastAsia="zh-CN"/>
        </w:rPr>
        <w:t>进行财务核算，</w:t>
      </w:r>
      <w:r>
        <w:rPr>
          <w:rFonts w:hint="eastAsia" w:ascii="仿宋" w:hAnsi="仿宋" w:eastAsia="仿宋" w:cs="仿宋"/>
          <w:sz w:val="28"/>
          <w:szCs w:val="28"/>
          <w:lang w:val="en-US" w:eastAsia="zh-CN"/>
        </w:rPr>
        <w:t>规范</w:t>
      </w:r>
      <w:r>
        <w:rPr>
          <w:rFonts w:hint="eastAsia" w:ascii="仿宋" w:hAnsi="仿宋" w:eastAsia="仿宋" w:cs="仿宋"/>
          <w:sz w:val="28"/>
          <w:szCs w:val="28"/>
          <w:lang w:eastAsia="zh-CN"/>
        </w:rPr>
        <w:t>专项资金</w:t>
      </w:r>
      <w:r>
        <w:rPr>
          <w:rFonts w:hint="eastAsia" w:ascii="仿宋" w:hAnsi="仿宋" w:eastAsia="仿宋" w:cs="仿宋"/>
          <w:sz w:val="28"/>
          <w:szCs w:val="28"/>
          <w:lang w:val="en-US" w:eastAsia="zh-CN"/>
        </w:rPr>
        <w:t>使用范围</w:t>
      </w:r>
      <w:r>
        <w:rPr>
          <w:rFonts w:hint="eastAsia" w:ascii="仿宋" w:hAnsi="仿宋" w:eastAsia="仿宋" w:cs="仿宋"/>
          <w:sz w:val="28"/>
          <w:szCs w:val="28"/>
          <w:lang w:eastAsia="zh-CN"/>
        </w:rPr>
        <w:t>，提高资金使用效率；项目主管单位</w:t>
      </w:r>
      <w:r>
        <w:rPr>
          <w:rFonts w:hint="eastAsia" w:ascii="仿宋" w:hAnsi="仿宋" w:eastAsia="仿宋" w:cs="仿宋"/>
          <w:sz w:val="28"/>
          <w:szCs w:val="28"/>
          <w:lang w:val="en-US" w:eastAsia="zh-CN"/>
        </w:rPr>
        <w:t>应在基</w:t>
      </w:r>
      <w:r>
        <w:rPr>
          <w:rFonts w:hint="eastAsia" w:ascii="仿宋" w:hAnsi="仿宋" w:eastAsia="仿宋" w:cs="仿宋"/>
          <w:b w:val="0"/>
          <w:bCs/>
          <w:kern w:val="2"/>
          <w:sz w:val="28"/>
          <w:szCs w:val="28"/>
          <w:highlight w:val="none"/>
          <w:lang w:val="en-US" w:eastAsia="zh-CN" w:bidi="ar-SA"/>
        </w:rPr>
        <w:t>本公卫项目绩效考核方案中增加</w:t>
      </w:r>
      <w:r>
        <w:rPr>
          <w:rFonts w:hint="eastAsia" w:ascii="仿宋" w:hAnsi="仿宋" w:eastAsia="仿宋" w:cs="仿宋"/>
          <w:sz w:val="28"/>
          <w:szCs w:val="28"/>
          <w:lang w:val="en-US" w:eastAsia="zh-CN"/>
        </w:rPr>
        <w:t>资金使用情况评价</w:t>
      </w:r>
      <w:r>
        <w:rPr>
          <w:rFonts w:hint="eastAsia" w:ascii="仿宋" w:hAnsi="仿宋" w:eastAsia="仿宋" w:cs="仿宋"/>
          <w:b w:val="0"/>
          <w:bCs/>
          <w:kern w:val="2"/>
          <w:sz w:val="28"/>
          <w:szCs w:val="28"/>
          <w:highlight w:val="none"/>
          <w:lang w:val="en-US" w:eastAsia="zh-CN" w:bidi="ar-SA"/>
        </w:rPr>
        <w:t>内容，</w:t>
      </w:r>
      <w:r>
        <w:rPr>
          <w:rFonts w:hint="eastAsia" w:ascii="仿宋" w:hAnsi="仿宋" w:eastAsia="仿宋" w:cs="仿宋"/>
          <w:sz w:val="28"/>
          <w:szCs w:val="28"/>
          <w:lang w:val="en-US" w:eastAsia="zh-CN"/>
        </w:rPr>
        <w:t>加强项目资金监</w:t>
      </w:r>
      <w:r>
        <w:rPr>
          <w:rFonts w:hint="eastAsia" w:ascii="仿宋" w:hAnsi="仿宋" w:eastAsia="仿宋" w:cs="仿宋"/>
          <w:sz w:val="28"/>
          <w:szCs w:val="28"/>
          <w:lang w:eastAsia="zh-CN"/>
        </w:rPr>
        <w:t>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八、绩效评价结果应用建议</w:t>
      </w:r>
      <w:bookmarkEnd w:id="268"/>
      <w:bookmarkEnd w:id="26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270" w:name="_Toc12604"/>
      <w:r>
        <w:rPr>
          <w:rFonts w:hint="eastAsia" w:ascii="仿宋" w:hAnsi="仿宋" w:eastAsia="仿宋" w:cs="仿宋"/>
          <w:b w:val="0"/>
          <w:bCs/>
          <w:kern w:val="2"/>
          <w:sz w:val="28"/>
          <w:szCs w:val="28"/>
          <w:highlight w:val="none"/>
          <w:lang w:val="en-US" w:eastAsia="zh-CN" w:bidi="ar-SA"/>
        </w:rPr>
        <w:t>绩效评价结果应用，既是开展绩效评价工作的重要后续环节，又是加强财政支出管理、增强资金绩效理念、合理配置公共资源、优化财政支出结构、强化资金管理水平、提高资金使用效益的重要手段。为此，特提出以下三点建议。</w:t>
      </w:r>
      <w:bookmarkEnd w:id="27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271" w:name="_Toc15835"/>
      <w:r>
        <w:rPr>
          <w:rFonts w:hint="eastAsia" w:ascii="仿宋" w:hAnsi="仿宋" w:eastAsia="仿宋" w:cs="仿宋"/>
          <w:b w:val="0"/>
          <w:bCs/>
          <w:kern w:val="2"/>
          <w:sz w:val="28"/>
          <w:szCs w:val="28"/>
          <w:highlight w:val="none"/>
          <w:lang w:val="en-US" w:eastAsia="zh-CN" w:bidi="ar-SA"/>
        </w:rPr>
        <w:t>（一）应将评价结果反馈告知项目实施单位。以“绩效评价结果反馈告知书”形式，将评价项目绩效分值、等级，存在的问题及相关建议及时反馈给项目资金使用单位，使其了解绩效评价结果，并针对性地结合绩效评价要求，巩固成果，整改问题，延续绩效评价结果的导向与激励作用。</w:t>
      </w:r>
      <w:bookmarkEnd w:id="27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272" w:name="_Toc3674"/>
      <w:r>
        <w:rPr>
          <w:rFonts w:hint="eastAsia" w:ascii="仿宋" w:hAnsi="仿宋" w:eastAsia="仿宋" w:cs="仿宋"/>
          <w:b w:val="0"/>
          <w:bCs/>
          <w:kern w:val="2"/>
          <w:sz w:val="28"/>
          <w:szCs w:val="28"/>
          <w:highlight w:val="none"/>
          <w:lang w:val="en-US" w:eastAsia="zh-CN" w:bidi="ar-SA"/>
        </w:rPr>
        <w:t>（二）应在一定范围内通报或公示绩效评价结果。依据《政府信息公开条例》等相关规定，对绩效评价情况在一定范围内公开，或在相关网站，采取内部通报、公示的形式，公开绩效评价结果。促进和增强项目实施单位及社会各界对绩效评价工作重要性的认识，逐步形成社会监督机制，进一步提高财政资金绩效评价结果的影响和社会的理解认同。</w:t>
      </w:r>
      <w:bookmarkEnd w:id="27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b w:val="0"/>
          <w:bCs/>
          <w:kern w:val="2"/>
          <w:sz w:val="28"/>
          <w:szCs w:val="28"/>
          <w:highlight w:val="none"/>
          <w:lang w:val="en-US" w:eastAsia="zh-CN" w:bidi="ar-SA"/>
        </w:rPr>
      </w:pPr>
      <w:bookmarkStart w:id="273" w:name="_Toc28088"/>
      <w:r>
        <w:rPr>
          <w:rFonts w:hint="eastAsia" w:ascii="仿宋" w:hAnsi="仿宋" w:eastAsia="仿宋" w:cs="仿宋"/>
          <w:b w:val="0"/>
          <w:bCs/>
          <w:kern w:val="2"/>
          <w:sz w:val="28"/>
          <w:szCs w:val="28"/>
          <w:highlight w:val="none"/>
          <w:lang w:val="en-US" w:eastAsia="zh-CN" w:bidi="ar-SA"/>
        </w:rPr>
        <w:t>（三）将此次绩效评价结果作为以后年度财政资金分配的重要依据。绩效评价是对效果的评价，评价结果直接反应项目实施的效益。</w:t>
      </w:r>
      <w:bookmarkEnd w:id="273"/>
      <w:bookmarkStart w:id="274" w:name="_Toc21511_WPSOffice_Level1"/>
      <w:bookmarkStart w:id="275" w:name="_Toc23457_WPSOffice_Level1"/>
      <w:bookmarkStart w:id="276" w:name="_Toc828_WPSOffice_Level1"/>
      <w:bookmarkStart w:id="277" w:name="_Toc3198_WPSOffice_Level1"/>
      <w:bookmarkStart w:id="278" w:name="_Toc29777_WPSOffice_Level1"/>
      <w:bookmarkStart w:id="279" w:name="_Toc3643_WPSOffice_Level1"/>
      <w:bookmarkStart w:id="280" w:name="_Toc1166_WPSOffice_Level1"/>
      <w:bookmarkStart w:id="281" w:name="_Toc31184_WPSOffice_Level1"/>
      <w:bookmarkStart w:id="282" w:name="_Toc6564_WPSOffice_Level1"/>
      <w:bookmarkStart w:id="283" w:name="_Toc22410_WPSOffice_Level1"/>
      <w:bookmarkStart w:id="284" w:name="_Toc7342_WPSOffice_Level1"/>
      <w:bookmarkStart w:id="285" w:name="_Toc17050_WPSOffice_Level1"/>
      <w:bookmarkStart w:id="286" w:name="_Toc28236_WPSOffice_Level1"/>
      <w:bookmarkStart w:id="287" w:name="_Toc4995_WPSOffice_Level1"/>
      <w:bookmarkStart w:id="288" w:name="_Toc11198_WPSOffice_Level1"/>
    </w:p>
    <w:p>
      <w:pPr>
        <w:pStyle w:val="2"/>
        <w:rPr>
          <w:rFonts w:hint="eastAsia"/>
        </w:rPr>
      </w:pPr>
    </w:p>
    <w:p>
      <w:pPr>
        <w:spacing w:before="156" w:beforeLines="50" w:line="560" w:lineRule="exact"/>
        <w:ind w:firstLine="560" w:firstLineChars="200"/>
        <w:jc w:val="left"/>
        <w:outlineLvl w:val="0"/>
        <w:rPr>
          <w:rFonts w:hint="eastAsia" w:ascii="仿宋" w:hAnsi="仿宋" w:eastAsia="仿宋" w:cs="仿宋"/>
          <w:bCs/>
          <w:sz w:val="28"/>
          <w:szCs w:val="28"/>
        </w:rPr>
      </w:pPr>
      <w:bookmarkStart w:id="289" w:name="_Toc316"/>
      <w:r>
        <w:rPr>
          <w:rFonts w:hint="eastAsia" w:ascii="仿宋" w:hAnsi="仿宋" w:eastAsia="仿宋" w:cs="仿宋"/>
          <w:bCs/>
          <w:sz w:val="28"/>
          <w:szCs w:val="28"/>
        </w:rPr>
        <w:t>附件1：</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Pr>
          <w:rFonts w:hint="eastAsia" w:ascii="仿宋" w:hAnsi="仿宋" w:eastAsia="仿宋" w:cs="仿宋"/>
          <w:bCs/>
          <w:sz w:val="28"/>
          <w:szCs w:val="28"/>
          <w:lang w:eastAsia="zh-CN"/>
        </w:rPr>
        <w:t>临猗县基本公共卫生项目绩效评价指标评分表</w:t>
      </w:r>
      <w:bookmarkEnd w:id="288"/>
      <w:bookmarkEnd w:id="289"/>
    </w:p>
    <w:p>
      <w:pPr>
        <w:spacing w:line="560" w:lineRule="exact"/>
        <w:ind w:firstLine="560" w:firstLineChars="200"/>
        <w:jc w:val="left"/>
        <w:outlineLvl w:val="0"/>
        <w:rPr>
          <w:rFonts w:ascii="仿宋" w:hAnsi="仿宋" w:eastAsia="仿宋" w:cs="仿宋"/>
          <w:sz w:val="28"/>
          <w:szCs w:val="28"/>
        </w:rPr>
      </w:pPr>
      <w:bookmarkStart w:id="290" w:name="_Toc19521_WPSOffice_Level1"/>
      <w:bookmarkStart w:id="291" w:name="_Toc28421_WPSOffice_Level1"/>
      <w:bookmarkStart w:id="292" w:name="_Toc1812_WPSOffice_Level1"/>
      <w:bookmarkStart w:id="293" w:name="_Toc10460_WPSOffice_Level1"/>
      <w:bookmarkStart w:id="294" w:name="_Toc25268_WPSOffice_Level1"/>
      <w:bookmarkStart w:id="295" w:name="_Toc32331_WPSOffice_Level1"/>
      <w:bookmarkStart w:id="296" w:name="_Toc1351"/>
      <w:bookmarkStart w:id="297" w:name="_Toc23757_WPSOffice_Level1"/>
      <w:bookmarkStart w:id="298" w:name="_Toc32669_WPSOffice_Level1"/>
      <w:bookmarkStart w:id="299" w:name="_Toc6837_WPSOffice_Level1"/>
      <w:bookmarkStart w:id="300" w:name="_Toc20234_WPSOffice_Level1"/>
      <w:bookmarkStart w:id="301" w:name="_Toc17413_WPSOffice_Level1"/>
      <w:bookmarkStart w:id="302" w:name="_Toc23617_WPSOffice_Level1"/>
      <w:bookmarkStart w:id="303" w:name="_Toc28491_WPSOffice_Level1"/>
      <w:bookmarkStart w:id="304" w:name="_Toc27541_WPSOffice_Level1"/>
      <w:bookmarkStart w:id="305" w:name="_Toc19501_WPSOffice_Level1"/>
      <w:r>
        <w:rPr>
          <w:rFonts w:hint="eastAsia" w:ascii="仿宋" w:hAnsi="仿宋" w:eastAsia="仿宋" w:cs="仿宋"/>
          <w:bCs/>
          <w:sz w:val="28"/>
          <w:szCs w:val="28"/>
        </w:rPr>
        <w:t>附件2：</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Start w:id="306" w:name="_Toc9132_WPSOffice_Level1"/>
      <w:bookmarkStart w:id="307" w:name="_Toc25524_WPSOffice_Level1"/>
      <w:bookmarkStart w:id="308" w:name="_Toc23722_WPSOffice_Level1"/>
      <w:bookmarkStart w:id="309" w:name="_Toc3703_WPSOffice_Level1"/>
      <w:bookmarkStart w:id="310" w:name="_Toc10767_WPSOffice_Level1"/>
      <w:bookmarkStart w:id="311" w:name="_Toc4966_WPSOffice_Level1"/>
      <w:bookmarkStart w:id="312" w:name="_Toc788"/>
      <w:bookmarkStart w:id="313" w:name="_Toc5800_WPSOffice_Level1"/>
      <w:bookmarkStart w:id="314" w:name="_Toc28993_WPSOffice_Level1"/>
      <w:bookmarkStart w:id="315" w:name="_Toc26483_WPSOffice_Level1"/>
      <w:bookmarkStart w:id="316" w:name="_Toc2871_WPSOffice_Level1"/>
      <w:bookmarkStart w:id="317" w:name="_Toc11054_WPSOffice_Level1"/>
      <w:bookmarkStart w:id="318" w:name="_Toc13567_WPSOffice_Level1"/>
      <w:bookmarkStart w:id="319" w:name="_Toc24243_WPSOffice_Level1"/>
      <w:bookmarkStart w:id="320" w:name="_Toc16586_WPSOffice_Level1"/>
      <w:bookmarkStart w:id="321" w:name="_Toc10661_WPSOffice_Level1"/>
      <w:r>
        <w:rPr>
          <w:rFonts w:hint="eastAsia" w:ascii="仿宋" w:hAnsi="仿宋" w:eastAsia="仿宋" w:cs="仿宋"/>
          <w:bCs/>
          <w:sz w:val="28"/>
          <w:szCs w:val="28"/>
        </w:rPr>
        <w:t>调查问卷分析报告</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pPr>
        <w:spacing w:line="560" w:lineRule="exact"/>
        <w:ind w:firstLine="556"/>
        <w:jc w:val="right"/>
        <w:rPr>
          <w:rFonts w:ascii="仿宋" w:hAnsi="仿宋" w:eastAsia="仿宋" w:cs="仿宋"/>
          <w:sz w:val="28"/>
          <w:szCs w:val="28"/>
        </w:rPr>
      </w:pPr>
    </w:p>
    <w:p>
      <w:pPr>
        <w:pStyle w:val="2"/>
      </w:pPr>
    </w:p>
    <w:p>
      <w:pPr>
        <w:spacing w:line="640" w:lineRule="exact"/>
        <w:ind w:firstLine="556"/>
        <w:jc w:val="right"/>
        <w:rPr>
          <w:rFonts w:ascii="仿宋" w:hAnsi="仿宋" w:eastAsia="仿宋" w:cs="仿宋"/>
          <w:sz w:val="28"/>
          <w:szCs w:val="28"/>
        </w:rPr>
      </w:pPr>
      <w:r>
        <w:rPr>
          <w:rFonts w:hint="eastAsia" w:ascii="仿宋" w:hAnsi="仿宋" w:eastAsia="仿宋" w:cs="仿宋"/>
          <w:sz w:val="28"/>
          <w:szCs w:val="28"/>
        </w:rPr>
        <w:t>山西广和会计师事务所有限公司</w:t>
      </w:r>
    </w:p>
    <w:p>
      <w:pPr>
        <w:adjustRightInd w:val="0"/>
        <w:snapToGrid w:val="0"/>
        <w:spacing w:line="64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                                </w:t>
      </w:r>
      <w:r>
        <w:rPr>
          <w:rFonts w:ascii="仿宋" w:hAnsi="仿宋" w:eastAsia="仿宋" w:cs="仿宋"/>
          <w:sz w:val="28"/>
          <w:szCs w:val="28"/>
        </w:rPr>
        <w:t xml:space="preserve">  </w:t>
      </w:r>
      <w:r>
        <w:rPr>
          <w:rFonts w:hint="eastAsia" w:ascii="仿宋" w:hAnsi="仿宋" w:eastAsia="仿宋" w:cs="仿宋"/>
          <w:sz w:val="28"/>
          <w:szCs w:val="28"/>
        </w:rPr>
        <w:t>20</w:t>
      </w:r>
      <w:r>
        <w:rPr>
          <w:rFonts w:hint="eastAsia" w:ascii="仿宋" w:hAnsi="仿宋" w:eastAsia="仿宋" w:cs="仿宋"/>
          <w:sz w:val="28"/>
          <w:szCs w:val="28"/>
          <w:lang w:val="en-US" w:eastAsia="zh-CN"/>
        </w:rPr>
        <w:t>21</w:t>
      </w:r>
      <w:r>
        <w:rPr>
          <w:rFonts w:hint="eastAsia" w:ascii="仿宋" w:hAnsi="仿宋" w:eastAsia="仿宋" w:cs="仿宋"/>
          <w:sz w:val="28"/>
          <w:szCs w:val="28"/>
        </w:rPr>
        <w:t>年</w:t>
      </w:r>
      <w:r>
        <w:rPr>
          <w:rFonts w:hint="eastAsia" w:ascii="仿宋" w:hAnsi="仿宋" w:eastAsia="仿宋" w:cs="仿宋"/>
          <w:sz w:val="28"/>
          <w:szCs w:val="28"/>
          <w:lang w:val="en-US" w:eastAsia="zh-CN"/>
        </w:rPr>
        <w:t>10</w:t>
      </w:r>
      <w:r>
        <w:rPr>
          <w:rFonts w:hint="eastAsia" w:ascii="仿宋" w:hAnsi="仿宋" w:eastAsia="仿宋" w:cs="仿宋"/>
          <w:sz w:val="28"/>
          <w:szCs w:val="28"/>
        </w:rPr>
        <w:t>月</w:t>
      </w:r>
      <w:r>
        <w:rPr>
          <w:rFonts w:hint="eastAsia" w:ascii="仿宋" w:hAnsi="仿宋" w:eastAsia="仿宋" w:cs="仿宋"/>
          <w:sz w:val="28"/>
          <w:szCs w:val="28"/>
          <w:lang w:val="en-US" w:eastAsia="zh-CN"/>
        </w:rPr>
        <w:t>9</w:t>
      </w:r>
      <w:r>
        <w:rPr>
          <w:rFonts w:hint="eastAsia" w:ascii="仿宋" w:hAnsi="仿宋" w:eastAsia="仿宋" w:cs="仿宋"/>
          <w:sz w:val="28"/>
          <w:szCs w:val="28"/>
        </w:rPr>
        <w:t>日</w:t>
      </w:r>
    </w:p>
    <w:p>
      <w:pPr>
        <w:pStyle w:val="2"/>
        <w:rPr>
          <w:rFonts w:hint="default" w:ascii="仿宋" w:hAnsi="仿宋" w:eastAsia="仿宋" w:cs="仿宋"/>
          <w:b w:val="0"/>
          <w:bCs/>
          <w:kern w:val="2"/>
          <w:sz w:val="28"/>
          <w:szCs w:val="28"/>
          <w:highlight w:val="none"/>
          <w:lang w:val="en-US" w:eastAsia="zh-CN" w:bidi="ar-SA"/>
        </w:rPr>
      </w:pPr>
    </w:p>
    <w:p>
      <w:pPr>
        <w:pStyle w:val="2"/>
        <w:rPr>
          <w:rFonts w:hint="default" w:ascii="仿宋" w:hAnsi="仿宋" w:eastAsia="仿宋" w:cs="仿宋"/>
          <w:b w:val="0"/>
          <w:bCs/>
          <w:kern w:val="2"/>
          <w:sz w:val="28"/>
          <w:szCs w:val="28"/>
          <w:highlight w:val="none"/>
          <w:lang w:val="en-US" w:eastAsia="zh-CN" w:bidi="ar-SA"/>
        </w:rPr>
        <w:sectPr>
          <w:footerReference r:id="rId7"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4"/>
        <w:tblW w:w="14743"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32"/>
        <w:gridCol w:w="1704"/>
        <w:gridCol w:w="708"/>
        <w:gridCol w:w="3258"/>
        <w:gridCol w:w="708"/>
        <w:gridCol w:w="538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blHeader/>
        </w:trPr>
        <w:tc>
          <w:tcPr>
            <w:tcW w:w="14743" w:type="dxa"/>
            <w:gridSpan w:val="8"/>
            <w:tcBorders>
              <w:top w:val="nil"/>
              <w:left w:val="nil"/>
              <w:bottom w:val="nil"/>
              <w:right w:val="nil"/>
            </w:tcBorders>
            <w:shd w:val="clear" w:color="auto" w:fill="auto"/>
            <w:noWrap/>
            <w:vAlign w:val="center"/>
          </w:tcPr>
          <w:p>
            <w:pPr>
              <w:widowControl/>
              <w:spacing w:line="240" w:lineRule="auto"/>
              <w:jc w:val="both"/>
              <w:rPr>
                <w:rFonts w:hint="default" w:ascii="仿宋" w:hAnsi="仿宋" w:eastAsia="仿宋" w:cs="仿宋"/>
                <w:sz w:val="28"/>
                <w:szCs w:val="28"/>
                <w:lang w:val="en-US" w:eastAsia="zh-CN"/>
              </w:rPr>
            </w:pPr>
            <w:r>
              <w:rPr>
                <w:rFonts w:hint="eastAsia" w:ascii="仿宋" w:hAnsi="仿宋" w:eastAsia="仿宋" w:cs="仿宋"/>
                <w:sz w:val="18"/>
                <w:szCs w:val="18"/>
                <w:lang w:val="en-US" w:eastAsia="zh-CN"/>
              </w:rPr>
              <w:t>附件1-1</w:t>
            </w:r>
            <w:r>
              <w:rPr>
                <w:rFonts w:hint="eastAsia" w:ascii="仿宋" w:hAnsi="仿宋" w:eastAsia="仿宋" w:cs="仿宋"/>
                <w:sz w:val="28"/>
                <w:szCs w:val="28"/>
                <w:lang w:val="en-US" w:eastAsia="zh-CN"/>
              </w:rPr>
              <w:t>：</w:t>
            </w:r>
          </w:p>
        </w:tc>
      </w:tr>
      <w:bookmarkEnd w:id="106"/>
      <w:bookmarkEnd w:id="107"/>
      <w:bookmarkEnd w:id="10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blHeader/>
        </w:trPr>
        <w:tc>
          <w:tcPr>
            <w:tcW w:w="14743" w:type="dxa"/>
            <w:gridSpan w:val="8"/>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b/>
                <w:bCs/>
                <w:kern w:val="0"/>
                <w:sz w:val="32"/>
                <w:szCs w:val="32"/>
              </w:rPr>
            </w:pPr>
            <w:r>
              <w:rPr>
                <w:rFonts w:ascii="仿宋" w:hAnsi="仿宋" w:eastAsia="仿宋" w:cs="仿宋"/>
                <w:sz w:val="28"/>
                <w:szCs w:val="28"/>
              </w:rPr>
              <w:br w:type="page"/>
            </w:r>
            <w:r>
              <w:rPr>
                <w:rFonts w:hint="eastAsia" w:ascii="宋体" w:hAnsi="宋体" w:eastAsia="宋体" w:cs="宋体"/>
                <w:b/>
                <w:bCs/>
                <w:kern w:val="0"/>
                <w:sz w:val="32"/>
                <w:szCs w:val="32"/>
                <w:lang w:eastAsia="zh-CN"/>
              </w:rPr>
              <w:t>临猗县基本公共卫生项目</w:t>
            </w:r>
            <w:r>
              <w:rPr>
                <w:rFonts w:hint="eastAsia" w:ascii="宋体" w:hAnsi="宋体" w:eastAsia="宋体" w:cs="宋体"/>
                <w:b/>
                <w:bCs/>
                <w:kern w:val="0"/>
                <w:sz w:val="32"/>
                <w:szCs w:val="32"/>
              </w:rPr>
              <w:t>绩效评价指标评分表（</w:t>
            </w:r>
            <w:r>
              <w:rPr>
                <w:rFonts w:hint="eastAsia" w:ascii="宋体" w:hAnsi="宋体" w:eastAsia="宋体" w:cs="宋体"/>
                <w:b/>
                <w:bCs/>
                <w:kern w:val="0"/>
                <w:sz w:val="32"/>
                <w:szCs w:val="32"/>
                <w:lang w:val="en-US" w:eastAsia="zh-CN"/>
              </w:rPr>
              <w:t>决策</w:t>
            </w:r>
            <w:r>
              <w:rPr>
                <w:rFonts w:hint="eastAsia" w:ascii="宋体" w:hAnsi="宋体" w:eastAsia="宋体" w:cs="宋体"/>
                <w:b/>
                <w:bCs/>
                <w:kern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blHeader/>
        </w:trPr>
        <w:tc>
          <w:tcPr>
            <w:tcW w:w="1135" w:type="dxa"/>
            <w:tcBorders>
              <w:top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一级指标</w:t>
            </w:r>
          </w:p>
        </w:tc>
        <w:tc>
          <w:tcPr>
            <w:tcW w:w="1132" w:type="dxa"/>
            <w:tcBorders>
              <w:top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二级指标</w:t>
            </w:r>
          </w:p>
        </w:tc>
        <w:tc>
          <w:tcPr>
            <w:tcW w:w="1704" w:type="dxa"/>
            <w:tcBorders>
              <w:top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三级指标</w:t>
            </w:r>
          </w:p>
        </w:tc>
        <w:tc>
          <w:tcPr>
            <w:tcW w:w="708" w:type="dxa"/>
            <w:tcBorders>
              <w:top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权重</w:t>
            </w:r>
          </w:p>
        </w:tc>
        <w:tc>
          <w:tcPr>
            <w:tcW w:w="3258" w:type="dxa"/>
            <w:tcBorders>
              <w:top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指标解释</w:t>
            </w:r>
          </w:p>
        </w:tc>
        <w:tc>
          <w:tcPr>
            <w:tcW w:w="708" w:type="dxa"/>
            <w:tcBorders>
              <w:top w:val="single" w:color="auto" w:sz="4" w:space="0"/>
            </w:tcBorders>
            <w:shd w:val="clear" w:color="auto" w:fill="auto"/>
            <w:vAlign w:val="center"/>
          </w:tcPr>
          <w:p>
            <w:pPr>
              <w:widowControl/>
              <w:jc w:val="center"/>
              <w:rPr>
                <w:rFonts w:ascii="仿宋" w:hAnsi="仿宋" w:eastAsia="仿宋" w:cs="宋体"/>
                <w:b/>
                <w:bCs/>
                <w:color w:val="000000"/>
                <w:kern w:val="0"/>
                <w:sz w:val="22"/>
                <w:szCs w:val="22"/>
              </w:rPr>
            </w:pPr>
            <w:r>
              <w:rPr>
                <w:rFonts w:hint="eastAsia" w:ascii="仿宋" w:hAnsi="仿宋" w:eastAsia="仿宋" w:cs="宋体"/>
                <w:b/>
                <w:bCs/>
                <w:color w:val="000000"/>
                <w:kern w:val="0"/>
                <w:sz w:val="22"/>
                <w:szCs w:val="22"/>
              </w:rPr>
              <w:t>评分依据</w:t>
            </w:r>
          </w:p>
        </w:tc>
        <w:tc>
          <w:tcPr>
            <w:tcW w:w="5389" w:type="dxa"/>
            <w:tcBorders>
              <w:top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评分标准</w:t>
            </w:r>
          </w:p>
        </w:tc>
        <w:tc>
          <w:tcPr>
            <w:tcW w:w="709" w:type="dxa"/>
            <w:tcBorders>
              <w:top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5" w:type="dxa"/>
            <w:vMerge w:val="restart"/>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决策</w:t>
            </w:r>
          </w:p>
          <w:p>
            <w:pPr>
              <w:widowControl/>
              <w:jc w:val="center"/>
              <w:rPr>
                <w:rFonts w:ascii="仿宋" w:hAnsi="仿宋" w:eastAsia="仿宋" w:cs="宋体"/>
                <w:kern w:val="0"/>
                <w:sz w:val="20"/>
                <w:szCs w:val="20"/>
              </w:rPr>
            </w:pPr>
            <w:r>
              <w:rPr>
                <w:rFonts w:hint="eastAsia" w:ascii="仿宋" w:hAnsi="仿宋" w:eastAsia="仿宋" w:cs="宋体"/>
                <w:kern w:val="0"/>
                <w:sz w:val="20"/>
                <w:szCs w:val="20"/>
              </w:rPr>
              <w:t>（</w:t>
            </w:r>
            <w:r>
              <w:rPr>
                <w:rFonts w:hint="eastAsia" w:ascii="仿宋" w:hAnsi="仿宋" w:eastAsia="仿宋" w:cs="宋体"/>
                <w:kern w:val="0"/>
                <w:sz w:val="20"/>
                <w:szCs w:val="20"/>
                <w:lang w:val="en-US" w:eastAsia="zh-CN"/>
              </w:rPr>
              <w:t>8</w:t>
            </w:r>
            <w:r>
              <w:rPr>
                <w:rFonts w:hint="eastAsia" w:ascii="仿宋" w:hAnsi="仿宋" w:eastAsia="仿宋" w:cs="宋体"/>
                <w:kern w:val="0"/>
                <w:sz w:val="20"/>
                <w:szCs w:val="20"/>
              </w:rPr>
              <w:t>分）</w:t>
            </w:r>
          </w:p>
        </w:tc>
        <w:tc>
          <w:tcPr>
            <w:tcW w:w="1132"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rPr>
              <w:t>项目</w:t>
            </w:r>
            <w:r>
              <w:rPr>
                <w:rFonts w:hint="eastAsia" w:ascii="仿宋" w:hAnsi="仿宋" w:eastAsia="仿宋" w:cs="宋体"/>
                <w:kern w:val="0"/>
                <w:sz w:val="20"/>
                <w:szCs w:val="20"/>
                <w:lang w:val="en-US" w:eastAsia="zh-CN"/>
              </w:rPr>
              <w:t>决策</w:t>
            </w:r>
          </w:p>
          <w:p>
            <w:pPr>
              <w:widowControl/>
              <w:jc w:val="center"/>
              <w:rPr>
                <w:rFonts w:ascii="仿宋" w:hAnsi="仿宋" w:eastAsia="仿宋" w:cs="宋体"/>
                <w:kern w:val="0"/>
                <w:sz w:val="20"/>
                <w:szCs w:val="20"/>
              </w:rPr>
            </w:pPr>
            <w:r>
              <w:rPr>
                <w:rFonts w:hint="eastAsia" w:ascii="仿宋" w:hAnsi="仿宋" w:eastAsia="仿宋" w:cs="宋体"/>
                <w:kern w:val="0"/>
                <w:sz w:val="20"/>
                <w:szCs w:val="20"/>
              </w:rPr>
              <w:t>（</w:t>
            </w:r>
            <w:r>
              <w:rPr>
                <w:rFonts w:hint="eastAsia" w:ascii="仿宋" w:hAnsi="仿宋" w:eastAsia="仿宋" w:cs="宋体"/>
                <w:kern w:val="0"/>
                <w:sz w:val="20"/>
                <w:szCs w:val="20"/>
                <w:lang w:val="en-US" w:eastAsia="zh-CN"/>
              </w:rPr>
              <w:t>1</w:t>
            </w:r>
            <w:r>
              <w:rPr>
                <w:rFonts w:hint="eastAsia" w:ascii="仿宋" w:hAnsi="仿宋" w:eastAsia="仿宋" w:cs="宋体"/>
                <w:kern w:val="0"/>
                <w:sz w:val="20"/>
                <w:szCs w:val="20"/>
              </w:rPr>
              <w:t>分）</w:t>
            </w:r>
          </w:p>
        </w:tc>
        <w:tc>
          <w:tcPr>
            <w:tcW w:w="1704"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决策依据</w:t>
            </w:r>
          </w:p>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充分性</w:t>
            </w:r>
          </w:p>
        </w:tc>
        <w:tc>
          <w:tcPr>
            <w:tcW w:w="708"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val="en-US" w:eastAsia="zh-CN"/>
              </w:rPr>
              <w:t>1</w:t>
            </w:r>
          </w:p>
        </w:tc>
        <w:tc>
          <w:tcPr>
            <w:tcW w:w="3258" w:type="dxa"/>
            <w:tcBorders>
              <w:tl2br w:val="nil"/>
              <w:tr2bl w:val="nil"/>
            </w:tcBorders>
            <w:shd w:val="clear" w:color="auto" w:fill="auto"/>
            <w:vAlign w:val="center"/>
          </w:tcPr>
          <w:p>
            <w:pPr>
              <w:widowControl/>
              <w:jc w:val="left"/>
              <w:rPr>
                <w:rFonts w:ascii="仿宋" w:hAnsi="仿宋" w:eastAsia="仿宋" w:cs="宋体"/>
                <w:kern w:val="0"/>
                <w:sz w:val="20"/>
                <w:szCs w:val="20"/>
              </w:rPr>
            </w:pPr>
            <w:r>
              <w:rPr>
                <w:rFonts w:hint="eastAsia" w:ascii="仿宋" w:hAnsi="仿宋" w:eastAsia="仿宋" w:cs="宋体"/>
                <w:kern w:val="0"/>
                <w:sz w:val="20"/>
                <w:szCs w:val="20"/>
              </w:rPr>
              <w:t>项目</w:t>
            </w:r>
            <w:r>
              <w:rPr>
                <w:rFonts w:hint="eastAsia" w:ascii="仿宋" w:hAnsi="仿宋" w:eastAsia="仿宋" w:cs="宋体"/>
                <w:kern w:val="0"/>
                <w:sz w:val="20"/>
                <w:szCs w:val="20"/>
                <w:lang w:val="en-US" w:eastAsia="zh-CN"/>
              </w:rPr>
              <w:t>决策</w:t>
            </w:r>
            <w:r>
              <w:rPr>
                <w:rFonts w:hint="eastAsia" w:ascii="宋体" w:hAnsi="宋体" w:eastAsia="宋体" w:cs="宋体"/>
                <w:color w:val="000000"/>
                <w:kern w:val="0"/>
                <w:sz w:val="20"/>
                <w:szCs w:val="20"/>
              </w:rPr>
              <w:t>是</w:t>
            </w:r>
            <w:r>
              <w:rPr>
                <w:rFonts w:hint="eastAsia" w:ascii="仿宋" w:hAnsi="仿宋" w:eastAsia="仿宋" w:cs="宋体"/>
                <w:kern w:val="0"/>
                <w:sz w:val="20"/>
                <w:szCs w:val="20"/>
                <w:lang w:val="en-US" w:eastAsia="zh-CN"/>
              </w:rPr>
              <w:t>否符合法律法规、相关政策、发展规划以及部门职责，用以反映和考核项目决策依据情况。</w:t>
            </w:r>
          </w:p>
        </w:tc>
        <w:tc>
          <w:tcPr>
            <w:tcW w:w="708" w:type="dxa"/>
            <w:tcBorders>
              <w:tl2br w:val="nil"/>
              <w:tr2bl w:val="nil"/>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通用标准</w:t>
            </w:r>
          </w:p>
        </w:tc>
        <w:tc>
          <w:tcPr>
            <w:tcW w:w="5389" w:type="dxa"/>
            <w:tcBorders>
              <w:tl2br w:val="nil"/>
              <w:tr2bl w:val="nil"/>
            </w:tcBorders>
            <w:shd w:val="clear" w:color="auto" w:fill="auto"/>
            <w:vAlign w:val="center"/>
          </w:tcPr>
          <w:p>
            <w:pPr>
              <w:widowControl/>
              <w:jc w:val="left"/>
              <w:rPr>
                <w:rFonts w:hint="eastAsia" w:ascii="仿宋" w:hAnsi="仿宋" w:eastAsia="仿宋" w:cs="宋体"/>
                <w:kern w:val="0"/>
                <w:sz w:val="20"/>
                <w:szCs w:val="20"/>
              </w:rPr>
            </w:pPr>
            <w:r>
              <w:rPr>
                <w:rFonts w:hint="eastAsia" w:ascii="仿宋" w:hAnsi="仿宋" w:eastAsia="仿宋" w:cs="宋体"/>
                <w:kern w:val="0"/>
                <w:sz w:val="20"/>
                <w:szCs w:val="20"/>
                <w:lang w:val="en-US" w:eastAsia="zh-CN"/>
              </w:rPr>
              <w:t>1.项目符合国家基本公共卫生服务法律法规、国家卫生事业相关发展规划和相关政策，</w:t>
            </w:r>
            <w:r>
              <w:rPr>
                <w:rFonts w:hint="eastAsia" w:ascii="仿宋" w:hAnsi="仿宋" w:eastAsia="仿宋" w:cs="宋体"/>
                <w:kern w:val="0"/>
                <w:sz w:val="20"/>
                <w:szCs w:val="20"/>
              </w:rPr>
              <w:t>得</w:t>
            </w:r>
            <w:r>
              <w:rPr>
                <w:rFonts w:hint="eastAsia" w:ascii="仿宋" w:hAnsi="仿宋" w:eastAsia="仿宋" w:cs="宋体"/>
                <w:kern w:val="0"/>
                <w:sz w:val="20"/>
                <w:szCs w:val="20"/>
                <w:lang w:val="en-US" w:eastAsia="zh-CN"/>
              </w:rPr>
              <w:t>0.5</w:t>
            </w:r>
            <w:r>
              <w:rPr>
                <w:rFonts w:hint="eastAsia" w:ascii="仿宋" w:hAnsi="仿宋" w:eastAsia="仿宋" w:cs="宋体"/>
                <w:kern w:val="0"/>
                <w:sz w:val="20"/>
                <w:szCs w:val="20"/>
              </w:rPr>
              <w:t>分，否则不得分；</w:t>
            </w:r>
          </w:p>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val="en-US" w:eastAsia="zh-CN"/>
              </w:rPr>
              <w:t>2.项目实施与部门职责范围相符，属于部门履职所需，</w:t>
            </w:r>
            <w:r>
              <w:rPr>
                <w:rFonts w:hint="eastAsia" w:ascii="仿宋" w:hAnsi="仿宋" w:eastAsia="仿宋" w:cs="宋体"/>
                <w:kern w:val="0"/>
                <w:sz w:val="20"/>
                <w:szCs w:val="20"/>
              </w:rPr>
              <w:t>得</w:t>
            </w:r>
            <w:r>
              <w:rPr>
                <w:rFonts w:hint="eastAsia" w:ascii="仿宋" w:hAnsi="仿宋" w:eastAsia="仿宋" w:cs="宋体"/>
                <w:kern w:val="0"/>
                <w:sz w:val="20"/>
                <w:szCs w:val="20"/>
                <w:lang w:val="en-US" w:eastAsia="zh-CN"/>
              </w:rPr>
              <w:t>0.5</w:t>
            </w:r>
            <w:r>
              <w:rPr>
                <w:rFonts w:hint="eastAsia" w:ascii="仿宋" w:hAnsi="仿宋" w:eastAsia="仿宋" w:cs="宋体"/>
                <w:kern w:val="0"/>
                <w:sz w:val="20"/>
                <w:szCs w:val="20"/>
              </w:rPr>
              <w:t>分，否则不得分</w:t>
            </w:r>
            <w:r>
              <w:rPr>
                <w:rFonts w:hint="eastAsia" w:ascii="仿宋" w:hAnsi="仿宋" w:eastAsia="仿宋" w:cs="宋体"/>
                <w:kern w:val="0"/>
                <w:sz w:val="20"/>
                <w:szCs w:val="20"/>
                <w:lang w:eastAsia="zh-CN"/>
              </w:rPr>
              <w:t>。</w:t>
            </w:r>
          </w:p>
        </w:tc>
        <w:tc>
          <w:tcPr>
            <w:tcW w:w="709" w:type="dxa"/>
            <w:tcBorders>
              <w:tl2br w:val="nil"/>
              <w:tr2bl w:val="nil"/>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lang w:val="en-US" w:eastAsia="zh-CN"/>
              </w:rPr>
              <w:t>1</w:t>
            </w:r>
            <w:r>
              <w:rPr>
                <w:rFonts w:hint="eastAsia" w:ascii="仿宋" w:hAnsi="仿宋" w:eastAsia="仿宋" w:cs="宋体"/>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5" w:type="dxa"/>
            <w:vMerge w:val="continue"/>
            <w:tcBorders>
              <w:tl2br w:val="nil"/>
              <w:tr2bl w:val="nil"/>
            </w:tcBorders>
            <w:vAlign w:val="center"/>
          </w:tcPr>
          <w:p>
            <w:pPr>
              <w:widowControl/>
              <w:jc w:val="left"/>
              <w:rPr>
                <w:rFonts w:ascii="仿宋" w:hAnsi="仿宋" w:eastAsia="仿宋" w:cs="宋体"/>
                <w:kern w:val="0"/>
                <w:sz w:val="20"/>
                <w:szCs w:val="20"/>
              </w:rPr>
            </w:pPr>
          </w:p>
        </w:tc>
        <w:tc>
          <w:tcPr>
            <w:tcW w:w="1132" w:type="dxa"/>
            <w:vMerge w:val="restart"/>
            <w:tcBorders>
              <w:tl2br w:val="nil"/>
              <w:tr2bl w:val="nil"/>
            </w:tcBorders>
            <w:vAlign w:val="center"/>
          </w:tcPr>
          <w:p>
            <w:pPr>
              <w:widowControl/>
              <w:jc w:val="left"/>
              <w:rPr>
                <w:rFonts w:hint="eastAsia"/>
                <w:sz w:val="20"/>
                <w:szCs w:val="20"/>
                <w:lang w:val="en-US" w:eastAsia="zh-CN"/>
              </w:rPr>
            </w:pPr>
            <w:r>
              <w:rPr>
                <w:rFonts w:hint="eastAsia"/>
                <w:sz w:val="20"/>
                <w:szCs w:val="20"/>
                <w:lang w:val="en-US" w:eastAsia="zh-CN"/>
              </w:rPr>
              <w:t>绩效目标</w:t>
            </w:r>
          </w:p>
          <w:p>
            <w:pPr>
              <w:pStyle w:val="2"/>
              <w:rPr>
                <w:rFonts w:hint="default"/>
                <w:sz w:val="20"/>
                <w:szCs w:val="20"/>
                <w:lang w:val="en-US" w:eastAsia="zh-CN"/>
              </w:rPr>
            </w:pPr>
            <w:r>
              <w:rPr>
                <w:rFonts w:hint="eastAsia" w:ascii="仿宋" w:hAnsi="仿宋" w:eastAsia="仿宋" w:cs="宋体"/>
                <w:kern w:val="0"/>
                <w:sz w:val="20"/>
                <w:szCs w:val="20"/>
              </w:rPr>
              <w:t>（</w:t>
            </w:r>
            <w:r>
              <w:rPr>
                <w:rFonts w:hint="eastAsia" w:ascii="仿宋" w:hAnsi="仿宋" w:eastAsia="仿宋" w:cs="宋体"/>
                <w:kern w:val="0"/>
                <w:sz w:val="20"/>
                <w:szCs w:val="20"/>
                <w:lang w:val="en-US" w:eastAsia="zh-CN"/>
              </w:rPr>
              <w:t>4</w:t>
            </w:r>
            <w:r>
              <w:rPr>
                <w:rFonts w:hint="eastAsia" w:ascii="仿宋" w:hAnsi="仿宋" w:eastAsia="仿宋" w:cs="宋体"/>
                <w:kern w:val="0"/>
                <w:sz w:val="20"/>
                <w:szCs w:val="20"/>
              </w:rPr>
              <w:t>分）</w:t>
            </w:r>
          </w:p>
        </w:tc>
        <w:tc>
          <w:tcPr>
            <w:tcW w:w="1704" w:type="dxa"/>
            <w:tcBorders>
              <w:tl2br w:val="nil"/>
              <w:tr2bl w:val="nil"/>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绩效目标合理性</w:t>
            </w:r>
          </w:p>
        </w:tc>
        <w:tc>
          <w:tcPr>
            <w:tcW w:w="708"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val="en-US" w:eastAsia="zh-CN"/>
              </w:rPr>
              <w:t>2</w:t>
            </w:r>
          </w:p>
        </w:tc>
        <w:tc>
          <w:tcPr>
            <w:tcW w:w="3258" w:type="dxa"/>
            <w:tcBorders>
              <w:tl2br w:val="nil"/>
              <w:tr2bl w:val="nil"/>
            </w:tcBorders>
            <w:shd w:val="clear" w:color="auto" w:fill="auto"/>
            <w:vAlign w:val="center"/>
          </w:tcPr>
          <w:p>
            <w:pPr>
              <w:widowControl/>
              <w:jc w:val="left"/>
              <w:rPr>
                <w:rFonts w:ascii="仿宋" w:hAnsi="仿宋" w:eastAsia="仿宋" w:cs="宋体"/>
                <w:kern w:val="0"/>
                <w:sz w:val="20"/>
                <w:szCs w:val="20"/>
              </w:rPr>
            </w:pPr>
            <w:r>
              <w:rPr>
                <w:rFonts w:hint="eastAsia" w:ascii="仿宋" w:hAnsi="仿宋" w:eastAsia="仿宋" w:cs="宋体"/>
                <w:kern w:val="0"/>
                <w:sz w:val="20"/>
                <w:szCs w:val="20"/>
              </w:rPr>
              <w:t>项目所设定的绩效目标是否依据充分，是否符合客观实际，用以</w:t>
            </w:r>
            <w:r>
              <w:rPr>
                <w:rFonts w:hint="eastAsia" w:ascii="仿宋" w:hAnsi="仿宋" w:eastAsia="仿宋" w:cs="宋体"/>
                <w:kern w:val="0"/>
                <w:sz w:val="20"/>
                <w:szCs w:val="20"/>
                <w:lang w:val="en-US" w:eastAsia="zh-CN"/>
              </w:rPr>
              <w:t>反映和考核</w:t>
            </w:r>
            <w:r>
              <w:rPr>
                <w:rFonts w:hint="eastAsia" w:ascii="仿宋" w:hAnsi="仿宋" w:eastAsia="仿宋" w:cs="宋体"/>
                <w:kern w:val="0"/>
                <w:sz w:val="20"/>
                <w:szCs w:val="20"/>
              </w:rPr>
              <w:t>项目绩效目标与</w:t>
            </w:r>
            <w:r>
              <w:rPr>
                <w:rFonts w:hint="eastAsia" w:ascii="仿宋" w:hAnsi="仿宋" w:eastAsia="仿宋" w:cs="宋体"/>
                <w:kern w:val="0"/>
                <w:sz w:val="20"/>
                <w:szCs w:val="20"/>
                <w:lang w:val="en-US" w:eastAsia="zh-CN"/>
              </w:rPr>
              <w:t>项目</w:t>
            </w:r>
            <w:r>
              <w:rPr>
                <w:rFonts w:hint="eastAsia" w:ascii="仿宋" w:hAnsi="仿宋" w:eastAsia="仿宋" w:cs="宋体"/>
                <w:kern w:val="0"/>
                <w:sz w:val="20"/>
                <w:szCs w:val="20"/>
              </w:rPr>
              <w:t>实施的相符情况。</w:t>
            </w:r>
          </w:p>
        </w:tc>
        <w:tc>
          <w:tcPr>
            <w:tcW w:w="708" w:type="dxa"/>
            <w:tcBorders>
              <w:tl2br w:val="nil"/>
              <w:tr2bl w:val="nil"/>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通用标准</w:t>
            </w:r>
          </w:p>
        </w:tc>
        <w:tc>
          <w:tcPr>
            <w:tcW w:w="5389"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rPr>
              <w:t>1.</w:t>
            </w:r>
            <w:r>
              <w:rPr>
                <w:rFonts w:hint="eastAsia" w:ascii="仿宋" w:hAnsi="仿宋" w:eastAsia="仿宋" w:cs="宋体"/>
                <w:kern w:val="0"/>
                <w:sz w:val="20"/>
                <w:szCs w:val="20"/>
                <w:lang w:val="en-US" w:eastAsia="zh-CN"/>
              </w:rPr>
              <w:t>项目设有明确且可实现的绩效目标，得0.5分。否则不得分；</w:t>
            </w:r>
          </w:p>
          <w:p>
            <w:pPr>
              <w:widowControl/>
              <w:jc w:val="left"/>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2.项目绩效目标与基本公共卫生服务项目实际工作内容具有相关性，得0.5分，否则不得分；</w:t>
            </w:r>
          </w:p>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val="en-US" w:eastAsia="zh-CN"/>
              </w:rPr>
              <w:t>3</w:t>
            </w:r>
            <w:r>
              <w:rPr>
                <w:rFonts w:hint="eastAsia" w:ascii="仿宋" w:hAnsi="仿宋" w:eastAsia="仿宋" w:cs="宋体"/>
                <w:kern w:val="0"/>
                <w:sz w:val="20"/>
                <w:szCs w:val="20"/>
              </w:rPr>
              <w:t>.</w:t>
            </w:r>
            <w:r>
              <w:rPr>
                <w:rFonts w:hint="eastAsia" w:ascii="仿宋" w:hAnsi="仿宋" w:eastAsia="仿宋" w:cs="宋体"/>
                <w:kern w:val="0"/>
                <w:sz w:val="20"/>
                <w:szCs w:val="20"/>
                <w:lang w:val="en-US" w:eastAsia="zh-CN"/>
              </w:rPr>
              <w:t>项目预期产出效益和效果符合基本公共卫生服务项目的要求，</w:t>
            </w:r>
            <w:r>
              <w:rPr>
                <w:rFonts w:hint="eastAsia" w:ascii="仿宋" w:hAnsi="仿宋" w:eastAsia="仿宋" w:cs="宋体"/>
                <w:kern w:val="0"/>
                <w:sz w:val="20"/>
                <w:szCs w:val="20"/>
              </w:rPr>
              <w:t>得</w:t>
            </w:r>
            <w:r>
              <w:rPr>
                <w:rFonts w:hint="eastAsia" w:ascii="仿宋" w:hAnsi="仿宋" w:eastAsia="仿宋" w:cs="宋体"/>
                <w:kern w:val="0"/>
                <w:sz w:val="20"/>
                <w:szCs w:val="20"/>
                <w:lang w:val="en-US" w:eastAsia="zh-CN"/>
              </w:rPr>
              <w:t>0.5</w:t>
            </w:r>
            <w:r>
              <w:rPr>
                <w:rFonts w:hint="eastAsia" w:ascii="仿宋" w:hAnsi="仿宋" w:eastAsia="仿宋" w:cs="宋体"/>
                <w:kern w:val="0"/>
                <w:sz w:val="20"/>
                <w:szCs w:val="20"/>
              </w:rPr>
              <w:t>分，否则不得分；</w:t>
            </w:r>
          </w:p>
          <w:p>
            <w:pPr>
              <w:widowControl/>
              <w:jc w:val="left"/>
              <w:rPr>
                <w:rFonts w:ascii="仿宋" w:hAnsi="仿宋" w:eastAsia="仿宋" w:cs="宋体"/>
                <w:kern w:val="0"/>
                <w:sz w:val="20"/>
                <w:szCs w:val="20"/>
              </w:rPr>
            </w:pPr>
            <w:r>
              <w:rPr>
                <w:rFonts w:hint="eastAsia" w:ascii="仿宋" w:hAnsi="仿宋" w:eastAsia="仿宋" w:cs="宋体"/>
                <w:kern w:val="0"/>
                <w:sz w:val="20"/>
                <w:szCs w:val="20"/>
              </w:rPr>
              <w:t>4.</w:t>
            </w:r>
            <w:r>
              <w:rPr>
                <w:rFonts w:hint="eastAsia" w:ascii="仿宋" w:hAnsi="仿宋" w:eastAsia="仿宋" w:cs="宋体"/>
                <w:kern w:val="0"/>
                <w:sz w:val="20"/>
                <w:szCs w:val="20"/>
                <w:lang w:val="en-US" w:eastAsia="zh-CN"/>
              </w:rPr>
              <w:t>项目与预算确定的项目资金量相匹配，得0.5分，否则不得分。</w:t>
            </w:r>
          </w:p>
        </w:tc>
        <w:tc>
          <w:tcPr>
            <w:tcW w:w="709" w:type="dxa"/>
            <w:tcBorders>
              <w:tl2br w:val="nil"/>
              <w:tr2bl w:val="nil"/>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lang w:val="en-US" w:eastAsia="zh-CN"/>
              </w:rPr>
              <w:t>1</w:t>
            </w:r>
            <w:r>
              <w:rPr>
                <w:rFonts w:hint="eastAsia" w:ascii="仿宋" w:hAnsi="仿宋" w:eastAsia="仿宋" w:cs="宋体"/>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1135" w:type="dxa"/>
            <w:vMerge w:val="continue"/>
            <w:tcBorders>
              <w:tl2br w:val="nil"/>
              <w:tr2bl w:val="nil"/>
            </w:tcBorders>
            <w:vAlign w:val="center"/>
          </w:tcPr>
          <w:p>
            <w:pPr>
              <w:widowControl/>
              <w:jc w:val="left"/>
              <w:rPr>
                <w:rFonts w:ascii="仿宋" w:hAnsi="仿宋" w:eastAsia="仿宋" w:cs="宋体"/>
                <w:kern w:val="0"/>
                <w:sz w:val="20"/>
                <w:szCs w:val="20"/>
              </w:rPr>
            </w:pPr>
          </w:p>
        </w:tc>
        <w:tc>
          <w:tcPr>
            <w:tcW w:w="1132" w:type="dxa"/>
            <w:vMerge w:val="continue"/>
            <w:tcBorders>
              <w:tl2br w:val="nil"/>
              <w:tr2bl w:val="nil"/>
            </w:tcBorders>
            <w:vAlign w:val="center"/>
          </w:tcPr>
          <w:p>
            <w:pPr>
              <w:widowControl/>
              <w:jc w:val="left"/>
              <w:rPr>
                <w:rFonts w:ascii="仿宋" w:hAnsi="仿宋" w:eastAsia="仿宋" w:cs="宋体"/>
                <w:kern w:val="0"/>
                <w:sz w:val="20"/>
                <w:szCs w:val="20"/>
              </w:rPr>
            </w:pPr>
          </w:p>
        </w:tc>
        <w:tc>
          <w:tcPr>
            <w:tcW w:w="1704" w:type="dxa"/>
            <w:tcBorders>
              <w:tl2br w:val="nil"/>
              <w:tr2bl w:val="nil"/>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绩效指标明确性</w:t>
            </w:r>
          </w:p>
        </w:tc>
        <w:tc>
          <w:tcPr>
            <w:tcW w:w="708" w:type="dxa"/>
            <w:tcBorders>
              <w:tl2br w:val="nil"/>
              <w:tr2bl w:val="nil"/>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w:t>
            </w:r>
          </w:p>
        </w:tc>
        <w:tc>
          <w:tcPr>
            <w:tcW w:w="3258" w:type="dxa"/>
            <w:tcBorders>
              <w:tl2br w:val="nil"/>
              <w:tr2bl w:val="nil"/>
            </w:tcBorders>
            <w:shd w:val="clear" w:color="auto" w:fill="auto"/>
            <w:vAlign w:val="center"/>
          </w:tcPr>
          <w:p>
            <w:pPr>
              <w:widowControl/>
              <w:jc w:val="left"/>
              <w:rPr>
                <w:rFonts w:ascii="仿宋" w:hAnsi="仿宋" w:eastAsia="仿宋" w:cs="宋体"/>
                <w:kern w:val="0"/>
                <w:sz w:val="20"/>
                <w:szCs w:val="20"/>
              </w:rPr>
            </w:pPr>
            <w:r>
              <w:rPr>
                <w:rFonts w:hint="eastAsia" w:ascii="仿宋" w:hAnsi="仿宋" w:eastAsia="仿宋" w:cs="宋体"/>
                <w:kern w:val="0"/>
                <w:sz w:val="20"/>
                <w:szCs w:val="20"/>
              </w:rPr>
              <w:t>依据项目绩效目标设定的绩效指标是否清晰、细化、可衡量等，用以</w:t>
            </w:r>
            <w:r>
              <w:rPr>
                <w:rFonts w:hint="eastAsia" w:ascii="仿宋" w:hAnsi="仿宋" w:eastAsia="仿宋" w:cs="宋体"/>
                <w:kern w:val="0"/>
                <w:sz w:val="20"/>
                <w:szCs w:val="20"/>
                <w:lang w:val="en-US" w:eastAsia="zh-CN"/>
              </w:rPr>
              <w:t>反映和考核</w:t>
            </w:r>
            <w:r>
              <w:rPr>
                <w:rFonts w:hint="eastAsia" w:ascii="仿宋" w:hAnsi="仿宋" w:eastAsia="仿宋" w:cs="宋体"/>
                <w:kern w:val="0"/>
                <w:sz w:val="20"/>
                <w:szCs w:val="20"/>
              </w:rPr>
              <w:t>项目绩效目标的明细化情况。</w:t>
            </w:r>
          </w:p>
        </w:tc>
        <w:tc>
          <w:tcPr>
            <w:tcW w:w="708" w:type="dxa"/>
            <w:tcBorders>
              <w:tl2br w:val="nil"/>
              <w:tr2bl w:val="nil"/>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通用标准</w:t>
            </w:r>
          </w:p>
        </w:tc>
        <w:tc>
          <w:tcPr>
            <w:tcW w:w="5389"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rPr>
              <w:t>1.绩效目标细化分解为具体的绩效指标，得1分，否则不得分；</w:t>
            </w:r>
          </w:p>
          <w:p>
            <w:pPr>
              <w:widowControl/>
              <w:jc w:val="left"/>
              <w:rPr>
                <w:rFonts w:ascii="仿宋" w:hAnsi="仿宋" w:eastAsia="仿宋" w:cs="宋体"/>
                <w:kern w:val="0"/>
                <w:sz w:val="20"/>
                <w:szCs w:val="20"/>
              </w:rPr>
            </w:pPr>
            <w:r>
              <w:rPr>
                <w:rFonts w:hint="eastAsia" w:ascii="仿宋" w:hAnsi="仿宋" w:eastAsia="仿宋" w:cs="宋体"/>
                <w:kern w:val="0"/>
                <w:sz w:val="20"/>
                <w:szCs w:val="20"/>
              </w:rPr>
              <w:t>2.绩效目标通过清晰、可衡量的指标值予以体现，得1分，否则不得分。</w:t>
            </w:r>
          </w:p>
        </w:tc>
        <w:tc>
          <w:tcPr>
            <w:tcW w:w="709" w:type="dxa"/>
            <w:tcBorders>
              <w:tl2br w:val="nil"/>
              <w:tr2bl w:val="nil"/>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lang w:val="en-US" w:eastAsia="zh-CN"/>
              </w:rPr>
              <w:t>1</w:t>
            </w:r>
            <w:r>
              <w:rPr>
                <w:rFonts w:hint="eastAsia" w:ascii="仿宋" w:hAnsi="仿宋" w:eastAsia="仿宋" w:cs="宋体"/>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trPr>
        <w:tc>
          <w:tcPr>
            <w:tcW w:w="1135" w:type="dxa"/>
            <w:vMerge w:val="restart"/>
            <w:tcBorders>
              <w:tl2br w:val="nil"/>
              <w:tr2bl w:val="nil"/>
            </w:tcBorders>
            <w:vAlign w:val="center"/>
          </w:tcPr>
          <w:p>
            <w:pPr>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决策</w:t>
            </w:r>
          </w:p>
          <w:p>
            <w:pPr>
              <w:jc w:val="center"/>
              <w:rPr>
                <w:rFonts w:ascii="仿宋" w:hAnsi="仿宋" w:eastAsia="仿宋" w:cs="宋体"/>
                <w:kern w:val="0"/>
                <w:sz w:val="20"/>
                <w:szCs w:val="20"/>
              </w:rPr>
            </w:pPr>
            <w:r>
              <w:rPr>
                <w:rFonts w:hint="eastAsia" w:ascii="仿宋" w:hAnsi="仿宋" w:eastAsia="仿宋" w:cs="宋体"/>
                <w:kern w:val="0"/>
                <w:sz w:val="20"/>
                <w:szCs w:val="20"/>
              </w:rPr>
              <w:t>（</w:t>
            </w:r>
            <w:r>
              <w:rPr>
                <w:rFonts w:hint="eastAsia" w:ascii="仿宋" w:hAnsi="仿宋" w:eastAsia="仿宋" w:cs="宋体"/>
                <w:kern w:val="0"/>
                <w:sz w:val="20"/>
                <w:szCs w:val="20"/>
                <w:lang w:val="en-US" w:eastAsia="zh-CN"/>
              </w:rPr>
              <w:t>8</w:t>
            </w:r>
            <w:r>
              <w:rPr>
                <w:rFonts w:hint="eastAsia" w:ascii="仿宋" w:hAnsi="仿宋" w:eastAsia="仿宋" w:cs="宋体"/>
                <w:kern w:val="0"/>
                <w:sz w:val="20"/>
                <w:szCs w:val="20"/>
              </w:rPr>
              <w:t>分）</w:t>
            </w:r>
          </w:p>
        </w:tc>
        <w:tc>
          <w:tcPr>
            <w:tcW w:w="1132" w:type="dxa"/>
            <w:vMerge w:val="restart"/>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rPr>
              <w:t>资金</w:t>
            </w:r>
            <w:r>
              <w:rPr>
                <w:rFonts w:hint="eastAsia" w:ascii="仿宋" w:hAnsi="仿宋" w:eastAsia="仿宋" w:cs="宋体"/>
                <w:kern w:val="0"/>
                <w:sz w:val="20"/>
                <w:szCs w:val="20"/>
                <w:lang w:val="en-US" w:eastAsia="zh-CN"/>
              </w:rPr>
              <w:t>投入</w:t>
            </w:r>
          </w:p>
          <w:p>
            <w:pPr>
              <w:widowControl/>
              <w:jc w:val="center"/>
              <w:rPr>
                <w:rFonts w:ascii="仿宋" w:hAnsi="仿宋" w:eastAsia="仿宋" w:cs="宋体"/>
                <w:kern w:val="0"/>
                <w:sz w:val="20"/>
                <w:szCs w:val="20"/>
              </w:rPr>
            </w:pPr>
            <w:r>
              <w:rPr>
                <w:rFonts w:hint="eastAsia" w:ascii="仿宋" w:hAnsi="仿宋" w:eastAsia="仿宋" w:cs="宋体"/>
                <w:kern w:val="0"/>
                <w:sz w:val="20"/>
                <w:szCs w:val="20"/>
              </w:rPr>
              <w:t>（</w:t>
            </w:r>
            <w:r>
              <w:rPr>
                <w:rFonts w:hint="eastAsia" w:ascii="仿宋" w:hAnsi="仿宋" w:eastAsia="仿宋" w:cs="宋体"/>
                <w:kern w:val="0"/>
                <w:sz w:val="20"/>
                <w:szCs w:val="20"/>
                <w:lang w:val="en-US" w:eastAsia="zh-CN"/>
              </w:rPr>
              <w:t>3</w:t>
            </w:r>
            <w:r>
              <w:rPr>
                <w:rFonts w:hint="eastAsia" w:ascii="仿宋" w:hAnsi="仿宋" w:eastAsia="仿宋" w:cs="宋体"/>
                <w:kern w:val="0"/>
                <w:sz w:val="20"/>
                <w:szCs w:val="20"/>
              </w:rPr>
              <w:t>分)</w:t>
            </w:r>
          </w:p>
        </w:tc>
        <w:tc>
          <w:tcPr>
            <w:tcW w:w="1704"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预算编制</w:t>
            </w:r>
          </w:p>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科学性</w:t>
            </w:r>
          </w:p>
        </w:tc>
        <w:tc>
          <w:tcPr>
            <w:tcW w:w="708"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val="en-US" w:eastAsia="zh-CN"/>
              </w:rPr>
              <w:t>1</w:t>
            </w:r>
          </w:p>
        </w:tc>
        <w:tc>
          <w:tcPr>
            <w:tcW w:w="3258"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项目预算编制是否经过科学论证、有明确的标准，资金额度与年度目标是否相适应，用以反映和考核项目预算编制的科学性、合理性。</w:t>
            </w:r>
          </w:p>
        </w:tc>
        <w:tc>
          <w:tcPr>
            <w:tcW w:w="708" w:type="dxa"/>
            <w:tcBorders>
              <w:tl2br w:val="nil"/>
              <w:tr2bl w:val="nil"/>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通用标准</w:t>
            </w:r>
          </w:p>
        </w:tc>
        <w:tc>
          <w:tcPr>
            <w:tcW w:w="5389"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val="en-US" w:eastAsia="zh-CN"/>
              </w:rPr>
            </w:pPr>
          </w:p>
          <w:p>
            <w:pPr>
              <w:widowControl/>
              <w:jc w:val="left"/>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1.项目预算按照标准编制，且编制过程及结果经过科学论证，得0.3分，否则不得分；</w:t>
            </w:r>
          </w:p>
          <w:p>
            <w:pPr>
              <w:widowControl/>
              <w:jc w:val="left"/>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2.基本公共卫生服务项目预算内容与实际内容相匹配，得0.3分，否则不得分；</w:t>
            </w:r>
          </w:p>
          <w:p>
            <w:pPr>
              <w:widowControl/>
              <w:jc w:val="left"/>
              <w:rPr>
                <w:rFonts w:ascii="仿宋" w:hAnsi="仿宋" w:eastAsia="仿宋" w:cs="宋体"/>
                <w:kern w:val="0"/>
                <w:sz w:val="20"/>
                <w:szCs w:val="20"/>
              </w:rPr>
            </w:pPr>
            <w:r>
              <w:rPr>
                <w:rFonts w:hint="eastAsia" w:ascii="仿宋" w:hAnsi="仿宋" w:eastAsia="仿宋" w:cs="宋体"/>
                <w:kern w:val="0"/>
                <w:sz w:val="20"/>
                <w:szCs w:val="20"/>
                <w:lang w:val="en-US" w:eastAsia="zh-CN"/>
              </w:rPr>
              <w:t>3.预算确定的项目资金量与2020年度工作任务相匹配，得0.4分，否则不得分。</w:t>
            </w:r>
          </w:p>
        </w:tc>
        <w:tc>
          <w:tcPr>
            <w:tcW w:w="709" w:type="dxa"/>
            <w:tcBorders>
              <w:tl2br w:val="nil"/>
              <w:tr2bl w:val="nil"/>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lang w:val="en-US" w:eastAsia="zh-CN"/>
              </w:rPr>
              <w:t>1</w:t>
            </w:r>
            <w:r>
              <w:rPr>
                <w:rFonts w:hint="eastAsia" w:ascii="仿宋" w:hAnsi="仿宋" w:eastAsia="仿宋" w:cs="宋体"/>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trPr>
        <w:tc>
          <w:tcPr>
            <w:tcW w:w="1135" w:type="dxa"/>
            <w:vMerge w:val="continue"/>
            <w:tcBorders>
              <w:tl2br w:val="nil"/>
              <w:tr2bl w:val="nil"/>
            </w:tcBorders>
            <w:vAlign w:val="center"/>
          </w:tcPr>
          <w:p>
            <w:pPr>
              <w:jc w:val="center"/>
              <w:rPr>
                <w:rFonts w:ascii="仿宋" w:hAnsi="仿宋" w:eastAsia="仿宋" w:cs="宋体"/>
                <w:kern w:val="0"/>
                <w:sz w:val="20"/>
                <w:szCs w:val="20"/>
              </w:rPr>
            </w:pPr>
          </w:p>
        </w:tc>
        <w:tc>
          <w:tcPr>
            <w:tcW w:w="1132" w:type="dxa"/>
            <w:vMerge w:val="continue"/>
            <w:tcBorders>
              <w:tl2br w:val="nil"/>
              <w:tr2bl w:val="nil"/>
            </w:tcBorders>
            <w:vAlign w:val="center"/>
          </w:tcPr>
          <w:p>
            <w:pPr>
              <w:jc w:val="center"/>
              <w:rPr>
                <w:rFonts w:ascii="仿宋" w:hAnsi="仿宋" w:eastAsia="仿宋" w:cs="宋体"/>
                <w:kern w:val="0"/>
                <w:sz w:val="20"/>
                <w:szCs w:val="20"/>
              </w:rPr>
            </w:pPr>
          </w:p>
        </w:tc>
        <w:tc>
          <w:tcPr>
            <w:tcW w:w="1704"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资金分配</w:t>
            </w:r>
          </w:p>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合理性</w:t>
            </w:r>
          </w:p>
        </w:tc>
        <w:tc>
          <w:tcPr>
            <w:tcW w:w="708"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val="en-US" w:eastAsia="zh-CN"/>
              </w:rPr>
              <w:t>2</w:t>
            </w:r>
          </w:p>
        </w:tc>
        <w:tc>
          <w:tcPr>
            <w:tcW w:w="3258"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项目预算资金分配是否有测算依据，与补助单位或地方实际是否相适应，用以反映和考核项目预算资金分配的科学性、合理性情况</w:t>
            </w:r>
          </w:p>
        </w:tc>
        <w:tc>
          <w:tcPr>
            <w:tcW w:w="708"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通用标准</w:t>
            </w:r>
          </w:p>
        </w:tc>
        <w:tc>
          <w:tcPr>
            <w:tcW w:w="5389"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1.项目预算资金分配依据充分，得1分，否则不得分；</w:t>
            </w:r>
          </w:p>
          <w:p>
            <w:pPr>
              <w:widowControl/>
              <w:jc w:val="left"/>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2.资金分配额度是否合理，与项目实际实施情况相适应，得1分，否则不得分；</w:t>
            </w:r>
          </w:p>
        </w:tc>
        <w:tc>
          <w:tcPr>
            <w:tcW w:w="709" w:type="dxa"/>
            <w:tcBorders>
              <w:tl2br w:val="nil"/>
              <w:tr2bl w:val="nil"/>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lang w:val="en-US" w:eastAsia="zh-CN"/>
              </w:rPr>
              <w:t>2</w:t>
            </w:r>
            <w:r>
              <w:rPr>
                <w:rFonts w:hint="eastAsia" w:ascii="仿宋" w:hAnsi="仿宋" w:eastAsia="仿宋" w:cs="宋体"/>
                <w:kern w:val="0"/>
                <w:sz w:val="22"/>
                <w:szCs w:val="22"/>
              </w:rPr>
              <w:t>　</w:t>
            </w:r>
          </w:p>
        </w:tc>
      </w:tr>
    </w:tbl>
    <w:p>
      <w:pPr>
        <w:pStyle w:val="2"/>
      </w:pPr>
    </w:p>
    <w:p>
      <w:pPr>
        <w:pStyle w:val="2"/>
        <w:sectPr>
          <w:headerReference r:id="rId8" w:type="default"/>
          <w:footerReference r:id="rId9" w:type="default"/>
          <w:pgSz w:w="16838" w:h="11906" w:orient="landscape"/>
          <w:pgMar w:top="993" w:right="1800" w:bottom="156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4"/>
        <w:tblW w:w="14524" w:type="dxa"/>
        <w:tblInd w:w="-249" w:type="dxa"/>
        <w:tblLayout w:type="fixed"/>
        <w:tblCellMar>
          <w:top w:w="0" w:type="dxa"/>
          <w:left w:w="108" w:type="dxa"/>
          <w:bottom w:w="0" w:type="dxa"/>
          <w:right w:w="108" w:type="dxa"/>
        </w:tblCellMar>
      </w:tblPr>
      <w:tblGrid>
        <w:gridCol w:w="1170"/>
        <w:gridCol w:w="1100"/>
        <w:gridCol w:w="1354"/>
        <w:gridCol w:w="520"/>
        <w:gridCol w:w="2700"/>
        <w:gridCol w:w="670"/>
        <w:gridCol w:w="6350"/>
        <w:gridCol w:w="660"/>
      </w:tblGrid>
      <w:tr>
        <w:tblPrEx>
          <w:tblCellMar>
            <w:top w:w="0" w:type="dxa"/>
            <w:left w:w="108" w:type="dxa"/>
            <w:bottom w:w="0" w:type="dxa"/>
            <w:right w:w="108" w:type="dxa"/>
          </w:tblCellMar>
        </w:tblPrEx>
        <w:trPr>
          <w:trHeight w:val="90" w:hRule="atLeast"/>
          <w:tblHeader/>
        </w:trPr>
        <w:tc>
          <w:tcPr>
            <w:tcW w:w="14524" w:type="dxa"/>
            <w:gridSpan w:val="8"/>
            <w:tcBorders>
              <w:top w:val="nil"/>
              <w:left w:val="nil"/>
              <w:bottom w:val="nil"/>
              <w:right w:val="nil"/>
            </w:tcBorders>
            <w:shd w:val="clear" w:color="auto" w:fill="auto"/>
            <w:noWrap/>
            <w:vAlign w:val="center"/>
          </w:tcPr>
          <w:p>
            <w:pPr>
              <w:widowControl/>
              <w:jc w:val="left"/>
              <w:rPr>
                <w:rFonts w:hint="default" w:ascii="宋体" w:hAnsi="宋体" w:eastAsia="宋体" w:cs="宋体"/>
                <w:b/>
                <w:bCs/>
                <w:kern w:val="0"/>
                <w:sz w:val="32"/>
                <w:szCs w:val="32"/>
                <w:lang w:val="en-US" w:eastAsia="zh-CN"/>
              </w:rPr>
            </w:pPr>
            <w:r>
              <w:rPr>
                <w:rFonts w:hint="eastAsia" w:ascii="宋体" w:hAnsi="宋体" w:eastAsia="宋体" w:cs="宋体"/>
                <w:b/>
                <w:bCs/>
                <w:kern w:val="0"/>
                <w:sz w:val="21"/>
                <w:szCs w:val="21"/>
                <w:lang w:val="en-US" w:eastAsia="zh-CN"/>
              </w:rPr>
              <w:t>附件1-1：</w:t>
            </w:r>
          </w:p>
        </w:tc>
      </w:tr>
      <w:tr>
        <w:tblPrEx>
          <w:tblCellMar>
            <w:top w:w="0" w:type="dxa"/>
            <w:left w:w="108" w:type="dxa"/>
            <w:bottom w:w="0" w:type="dxa"/>
            <w:right w:w="108" w:type="dxa"/>
          </w:tblCellMar>
        </w:tblPrEx>
        <w:trPr>
          <w:trHeight w:val="993" w:hRule="atLeast"/>
          <w:tblHeader/>
        </w:trPr>
        <w:tc>
          <w:tcPr>
            <w:tcW w:w="14524" w:type="dxa"/>
            <w:gridSpan w:val="8"/>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b/>
                <w:bCs/>
                <w:kern w:val="0"/>
                <w:sz w:val="32"/>
                <w:szCs w:val="32"/>
              </w:rPr>
            </w:pPr>
            <w:r>
              <w:rPr>
                <w:rFonts w:hint="eastAsia" w:ascii="宋体" w:hAnsi="宋体" w:eastAsia="宋体" w:cs="宋体"/>
                <w:b/>
                <w:bCs/>
                <w:kern w:val="0"/>
                <w:sz w:val="32"/>
                <w:szCs w:val="32"/>
                <w:lang w:eastAsia="zh-CN"/>
              </w:rPr>
              <w:t>临猗县基本公共卫生项目</w:t>
            </w:r>
            <w:r>
              <w:rPr>
                <w:rFonts w:hint="eastAsia" w:ascii="宋体" w:hAnsi="宋体" w:eastAsia="宋体" w:cs="宋体"/>
                <w:b/>
                <w:bCs/>
                <w:kern w:val="0"/>
                <w:sz w:val="32"/>
                <w:szCs w:val="32"/>
              </w:rPr>
              <w:t>绩效评价指标评分表（过程）</w:t>
            </w:r>
          </w:p>
        </w:tc>
      </w:tr>
      <w:tr>
        <w:tblPrEx>
          <w:tblCellMar>
            <w:top w:w="0" w:type="dxa"/>
            <w:left w:w="108" w:type="dxa"/>
            <w:bottom w:w="0" w:type="dxa"/>
            <w:right w:w="108" w:type="dxa"/>
          </w:tblCellMar>
        </w:tblPrEx>
        <w:trPr>
          <w:trHeight w:val="557" w:hRule="atLeast"/>
          <w:tblHeader/>
        </w:trPr>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一级指标</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二级指标</w:t>
            </w:r>
          </w:p>
        </w:tc>
        <w:tc>
          <w:tcPr>
            <w:tcW w:w="13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三级指标</w:t>
            </w:r>
          </w:p>
        </w:tc>
        <w:tc>
          <w:tcPr>
            <w:tcW w:w="5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权重</w:t>
            </w:r>
          </w:p>
        </w:tc>
        <w:tc>
          <w:tcPr>
            <w:tcW w:w="2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指标解释</w:t>
            </w:r>
          </w:p>
        </w:tc>
        <w:tc>
          <w:tcPr>
            <w:tcW w:w="67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2"/>
                <w:szCs w:val="22"/>
              </w:rPr>
            </w:pPr>
            <w:r>
              <w:rPr>
                <w:rFonts w:hint="eastAsia" w:ascii="仿宋" w:hAnsi="仿宋" w:eastAsia="仿宋" w:cs="宋体"/>
                <w:b/>
                <w:bCs/>
                <w:color w:val="000000"/>
                <w:kern w:val="0"/>
                <w:sz w:val="22"/>
                <w:szCs w:val="22"/>
              </w:rPr>
              <w:t>评分依据</w:t>
            </w:r>
          </w:p>
        </w:tc>
        <w:tc>
          <w:tcPr>
            <w:tcW w:w="63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评分标准</w:t>
            </w:r>
          </w:p>
        </w:tc>
        <w:tc>
          <w:tcPr>
            <w:tcW w:w="6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分值</w:t>
            </w:r>
          </w:p>
        </w:tc>
      </w:tr>
      <w:tr>
        <w:tblPrEx>
          <w:tblCellMar>
            <w:top w:w="0" w:type="dxa"/>
            <w:left w:w="108" w:type="dxa"/>
            <w:bottom w:w="0" w:type="dxa"/>
            <w:right w:w="108" w:type="dxa"/>
          </w:tblCellMar>
        </w:tblPrEx>
        <w:trPr>
          <w:trHeight w:val="1871" w:hRule="atLeast"/>
        </w:trPr>
        <w:tc>
          <w:tcPr>
            <w:tcW w:w="1170" w:type="dxa"/>
            <w:vMerge w:val="restart"/>
            <w:tcBorders>
              <w:top w:val="single" w:color="auto" w:sz="4" w:space="0"/>
              <w:left w:val="single" w:color="auto" w:sz="4" w:space="0"/>
              <w:right w:val="single" w:color="auto" w:sz="4" w:space="0"/>
            </w:tcBorders>
            <w:vAlign w:val="center"/>
          </w:tcPr>
          <w:p>
            <w:pPr>
              <w:widowControl/>
              <w:jc w:val="center"/>
              <w:rPr>
                <w:rFonts w:hint="eastAsia" w:ascii="仿宋" w:hAnsi="仿宋" w:eastAsia="仿宋" w:cs="宋体"/>
                <w:kern w:val="0"/>
                <w:sz w:val="22"/>
                <w:szCs w:val="22"/>
                <w:lang w:eastAsia="zh-CN"/>
              </w:rPr>
            </w:pPr>
            <w:r>
              <w:rPr>
                <w:rFonts w:hint="eastAsia" w:ascii="仿宋" w:hAnsi="仿宋" w:eastAsia="仿宋" w:cs="宋体"/>
                <w:kern w:val="0"/>
                <w:sz w:val="22"/>
                <w:szCs w:val="22"/>
                <w:lang w:eastAsia="zh-CN"/>
              </w:rPr>
              <w:t>过程</w:t>
            </w:r>
          </w:p>
          <w:p>
            <w:pPr>
              <w:widowControl/>
              <w:jc w:val="center"/>
              <w:rPr>
                <w:rFonts w:hint="default" w:ascii="仿宋" w:hAnsi="仿宋" w:eastAsia="仿宋" w:cs="宋体"/>
                <w:kern w:val="0"/>
                <w:sz w:val="22"/>
                <w:szCs w:val="22"/>
                <w:lang w:val="en-US" w:eastAsia="zh-CN"/>
              </w:rPr>
            </w:pPr>
            <w:r>
              <w:rPr>
                <w:rFonts w:hint="eastAsia" w:ascii="仿宋" w:hAnsi="仿宋" w:eastAsia="仿宋" w:cs="宋体"/>
                <w:kern w:val="0"/>
                <w:sz w:val="22"/>
                <w:szCs w:val="22"/>
                <w:lang w:eastAsia="zh-CN"/>
              </w:rPr>
              <w:t>（</w:t>
            </w:r>
            <w:r>
              <w:rPr>
                <w:rFonts w:hint="eastAsia" w:ascii="仿宋" w:hAnsi="仿宋" w:eastAsia="仿宋" w:cs="宋体"/>
                <w:kern w:val="0"/>
                <w:sz w:val="22"/>
                <w:szCs w:val="22"/>
                <w:lang w:val="en-US" w:eastAsia="zh-CN"/>
              </w:rPr>
              <w:t>24分）</w:t>
            </w:r>
          </w:p>
        </w:tc>
        <w:tc>
          <w:tcPr>
            <w:tcW w:w="110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val="en-US" w:eastAsia="zh-CN"/>
              </w:rPr>
              <w:t>资金</w:t>
            </w:r>
            <w:r>
              <w:rPr>
                <w:rFonts w:hint="eastAsia" w:ascii="仿宋" w:hAnsi="仿宋" w:eastAsia="仿宋" w:cs="宋体"/>
                <w:kern w:val="0"/>
                <w:sz w:val="20"/>
                <w:szCs w:val="20"/>
              </w:rPr>
              <w:t>管理</w:t>
            </w:r>
          </w:p>
          <w:p>
            <w:pPr>
              <w:widowControl/>
              <w:jc w:val="center"/>
              <w:rPr>
                <w:rFonts w:hint="eastAsia" w:ascii="仿宋" w:hAnsi="仿宋" w:eastAsia="仿宋" w:cs="宋体"/>
                <w:kern w:val="0"/>
                <w:sz w:val="20"/>
                <w:szCs w:val="20"/>
              </w:rPr>
            </w:pPr>
            <w:r>
              <w:rPr>
                <w:rFonts w:hint="eastAsia" w:ascii="仿宋" w:hAnsi="仿宋" w:eastAsia="仿宋" w:cs="宋体"/>
                <w:kern w:val="0"/>
                <w:sz w:val="20"/>
                <w:szCs w:val="20"/>
              </w:rPr>
              <w:t>（</w:t>
            </w:r>
            <w:r>
              <w:rPr>
                <w:rFonts w:hint="eastAsia" w:ascii="仿宋" w:hAnsi="仿宋" w:eastAsia="仿宋" w:cs="宋体"/>
                <w:kern w:val="0"/>
                <w:sz w:val="20"/>
                <w:szCs w:val="20"/>
                <w:lang w:val="en-US" w:eastAsia="zh-CN"/>
              </w:rPr>
              <w:t>10</w:t>
            </w:r>
            <w:r>
              <w:rPr>
                <w:rFonts w:hint="eastAsia" w:ascii="仿宋" w:hAnsi="仿宋" w:eastAsia="仿宋" w:cs="宋体"/>
                <w:kern w:val="0"/>
                <w:sz w:val="20"/>
                <w:szCs w:val="20"/>
              </w:rPr>
              <w:t>分）</w:t>
            </w:r>
          </w:p>
          <w:p>
            <w:pPr>
              <w:jc w:val="center"/>
              <w:rPr>
                <w:rFonts w:ascii="仿宋" w:hAnsi="仿宋" w:eastAsia="仿宋" w:cs="宋体"/>
                <w:kern w:val="0"/>
                <w:sz w:val="20"/>
                <w:szCs w:val="20"/>
              </w:rPr>
            </w:pPr>
          </w:p>
        </w:tc>
        <w:tc>
          <w:tcPr>
            <w:tcW w:w="135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资金到位率</w:t>
            </w:r>
          </w:p>
        </w:tc>
        <w:tc>
          <w:tcPr>
            <w:tcW w:w="52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val="en-US" w:eastAsia="zh-CN"/>
              </w:rPr>
              <w:t>2</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项目实际到位资金与预算资金的比率，用以反映和考核资金落实情况对项目实施的总体保障程度</w:t>
            </w:r>
          </w:p>
        </w:tc>
        <w:tc>
          <w:tcPr>
            <w:tcW w:w="6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通用标准</w:t>
            </w:r>
          </w:p>
        </w:tc>
        <w:tc>
          <w:tcPr>
            <w:tcW w:w="6350" w:type="dxa"/>
            <w:tcBorders>
              <w:top w:val="nil"/>
              <w:left w:val="nil"/>
              <w:bottom w:val="single" w:color="auto" w:sz="4" w:space="0"/>
              <w:right w:val="single" w:color="auto" w:sz="4" w:space="0"/>
            </w:tcBorders>
            <w:shd w:val="clear" w:color="auto" w:fill="auto"/>
            <w:vAlign w:val="center"/>
          </w:tcPr>
          <w:p>
            <w:pPr>
              <w:pStyle w:val="2"/>
              <w:rPr>
                <w:rFonts w:hint="eastAsia" w:ascii="仿宋" w:hAnsi="仿宋" w:eastAsia="仿宋" w:cs="宋体"/>
                <w:kern w:val="0"/>
                <w:sz w:val="20"/>
                <w:szCs w:val="20"/>
              </w:rPr>
            </w:pPr>
            <w:r>
              <w:rPr>
                <w:rFonts w:hint="eastAsia" w:ascii="仿宋" w:hAnsi="仿宋" w:eastAsia="仿宋" w:cs="宋体"/>
                <w:kern w:val="0"/>
                <w:sz w:val="20"/>
                <w:szCs w:val="20"/>
                <w:lang w:val="en-US" w:eastAsia="zh-CN"/>
              </w:rPr>
              <w:t>资金到位率=（实际到位资金/预算资金）</w:t>
            </w:r>
            <w:r>
              <w:rPr>
                <w:rFonts w:hint="eastAsia" w:ascii="仿宋" w:hAnsi="仿宋" w:eastAsia="仿宋" w:cs="宋体"/>
                <w:kern w:val="0"/>
                <w:sz w:val="20"/>
                <w:szCs w:val="20"/>
              </w:rPr>
              <w:t>×100%。</w:t>
            </w:r>
          </w:p>
          <w:p>
            <w:pPr>
              <w:pStyle w:val="2"/>
              <w:rPr>
                <w:rFonts w:hint="default"/>
                <w:sz w:val="20"/>
                <w:szCs w:val="20"/>
                <w:lang w:val="en-US"/>
              </w:rPr>
            </w:pPr>
            <w:r>
              <w:rPr>
                <w:rFonts w:hint="eastAsia" w:ascii="仿宋" w:hAnsi="仿宋" w:eastAsia="仿宋" w:cs="宋体"/>
                <w:kern w:val="0"/>
                <w:sz w:val="20"/>
                <w:szCs w:val="20"/>
                <w:lang w:val="en-US" w:eastAsia="zh-CN"/>
              </w:rPr>
              <w:t>实际到位资金：2020年度落实到基本公共卫生项目的资金；预算资金：2020年度预算安排到基本公共卫生项目的资金。</w:t>
            </w:r>
          </w:p>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rPr>
              <w:t>实际到位资金达到计划投入，得</w:t>
            </w:r>
            <w:r>
              <w:rPr>
                <w:rFonts w:hint="eastAsia" w:ascii="仿宋" w:hAnsi="仿宋" w:eastAsia="仿宋" w:cs="宋体"/>
                <w:kern w:val="0"/>
                <w:sz w:val="20"/>
                <w:szCs w:val="20"/>
                <w:lang w:val="en-US" w:eastAsia="zh-CN"/>
              </w:rPr>
              <w:t>2</w:t>
            </w:r>
            <w:r>
              <w:rPr>
                <w:rFonts w:hint="eastAsia" w:ascii="仿宋" w:hAnsi="仿宋" w:eastAsia="仿宋" w:cs="宋体"/>
                <w:kern w:val="0"/>
                <w:sz w:val="20"/>
                <w:szCs w:val="20"/>
              </w:rPr>
              <w:t>分，否则每减少5个百分点扣</w:t>
            </w:r>
            <w:r>
              <w:rPr>
                <w:rFonts w:hint="eastAsia" w:ascii="仿宋" w:hAnsi="仿宋" w:eastAsia="仿宋" w:cs="宋体"/>
                <w:kern w:val="0"/>
                <w:sz w:val="20"/>
                <w:szCs w:val="20"/>
                <w:lang w:val="en-US" w:eastAsia="zh-CN"/>
              </w:rPr>
              <w:t>0.2</w:t>
            </w:r>
            <w:r>
              <w:rPr>
                <w:rFonts w:hint="eastAsia" w:ascii="仿宋" w:hAnsi="仿宋" w:eastAsia="仿宋" w:cs="宋体"/>
                <w:kern w:val="0"/>
                <w:sz w:val="20"/>
                <w:szCs w:val="20"/>
              </w:rPr>
              <w:t>分，扣完为止。</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lang w:val="en-US" w:eastAsia="zh-CN"/>
              </w:rPr>
              <w:t>2</w:t>
            </w:r>
            <w:r>
              <w:rPr>
                <w:rFonts w:hint="eastAsia" w:ascii="仿宋" w:hAnsi="仿宋" w:eastAsia="仿宋" w:cs="宋体"/>
                <w:kern w:val="0"/>
                <w:sz w:val="22"/>
                <w:szCs w:val="22"/>
              </w:rPr>
              <w:t>　</w:t>
            </w:r>
          </w:p>
        </w:tc>
      </w:tr>
      <w:tr>
        <w:tblPrEx>
          <w:tblCellMar>
            <w:top w:w="0" w:type="dxa"/>
            <w:left w:w="108" w:type="dxa"/>
            <w:bottom w:w="0" w:type="dxa"/>
            <w:right w:w="108" w:type="dxa"/>
          </w:tblCellMar>
        </w:tblPrEx>
        <w:trPr>
          <w:trHeight w:val="1625" w:hRule="atLeast"/>
        </w:trPr>
        <w:tc>
          <w:tcPr>
            <w:tcW w:w="1170" w:type="dxa"/>
            <w:vMerge w:val="continue"/>
            <w:tcBorders>
              <w:left w:val="single" w:color="auto" w:sz="4" w:space="0"/>
              <w:right w:val="single" w:color="auto" w:sz="4" w:space="0"/>
            </w:tcBorders>
            <w:vAlign w:val="center"/>
          </w:tcPr>
          <w:p>
            <w:pPr>
              <w:jc w:val="center"/>
              <w:rPr>
                <w:rFonts w:ascii="仿宋" w:hAnsi="仿宋" w:eastAsia="仿宋" w:cs="宋体"/>
                <w:kern w:val="0"/>
                <w:sz w:val="22"/>
                <w:szCs w:val="22"/>
              </w:rPr>
            </w:pPr>
          </w:p>
        </w:tc>
        <w:tc>
          <w:tcPr>
            <w:tcW w:w="1100" w:type="dxa"/>
            <w:vMerge w:val="continue"/>
            <w:tcBorders>
              <w:left w:val="single" w:color="auto" w:sz="4" w:space="0"/>
              <w:right w:val="single" w:color="auto" w:sz="4" w:space="0"/>
            </w:tcBorders>
            <w:vAlign w:val="center"/>
          </w:tcPr>
          <w:p>
            <w:pPr>
              <w:jc w:val="center"/>
              <w:rPr>
                <w:rFonts w:ascii="仿宋" w:hAnsi="仿宋" w:eastAsia="仿宋" w:cs="宋体"/>
                <w:kern w:val="0"/>
                <w:sz w:val="20"/>
                <w:szCs w:val="20"/>
              </w:rPr>
            </w:pPr>
          </w:p>
        </w:tc>
        <w:tc>
          <w:tcPr>
            <w:tcW w:w="135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 w:val="20"/>
                <w:szCs w:val="20"/>
              </w:rPr>
            </w:pPr>
            <w:r>
              <w:rPr>
                <w:rFonts w:hint="eastAsia" w:ascii="仿宋" w:hAnsi="仿宋" w:eastAsia="仿宋" w:cs="宋体"/>
                <w:kern w:val="0"/>
                <w:sz w:val="20"/>
                <w:szCs w:val="20"/>
              </w:rPr>
              <w:t>预算执行率</w:t>
            </w:r>
          </w:p>
        </w:tc>
        <w:tc>
          <w:tcPr>
            <w:tcW w:w="52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项目预算资金是否按照计划执行，用以反映和考核项目预算执行情况</w:t>
            </w:r>
          </w:p>
        </w:tc>
        <w:tc>
          <w:tcPr>
            <w:tcW w:w="67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通用标准</w:t>
            </w:r>
          </w:p>
        </w:tc>
        <w:tc>
          <w:tcPr>
            <w:tcW w:w="635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0"/>
                <w:szCs w:val="20"/>
              </w:rPr>
            </w:pPr>
            <w:r>
              <w:rPr>
                <w:rFonts w:hint="eastAsia" w:ascii="仿宋" w:hAnsi="仿宋" w:eastAsia="仿宋" w:cs="宋体"/>
                <w:kern w:val="0"/>
                <w:sz w:val="20"/>
                <w:szCs w:val="20"/>
              </w:rPr>
              <w:t>预算执行率=（实际</w:t>
            </w:r>
            <w:r>
              <w:rPr>
                <w:rFonts w:hint="eastAsia" w:ascii="仿宋" w:hAnsi="仿宋" w:eastAsia="仿宋" w:cs="宋体"/>
                <w:kern w:val="0"/>
                <w:sz w:val="20"/>
                <w:szCs w:val="20"/>
                <w:lang w:val="en-US" w:eastAsia="zh-CN"/>
              </w:rPr>
              <w:t>支出</w:t>
            </w:r>
            <w:r>
              <w:rPr>
                <w:rFonts w:hint="eastAsia" w:ascii="仿宋" w:hAnsi="仿宋" w:eastAsia="仿宋" w:cs="宋体"/>
                <w:kern w:val="0"/>
                <w:sz w:val="20"/>
                <w:szCs w:val="20"/>
              </w:rPr>
              <w:t>资金/</w:t>
            </w:r>
            <w:r>
              <w:rPr>
                <w:rFonts w:hint="eastAsia" w:ascii="仿宋" w:hAnsi="仿宋" w:eastAsia="仿宋" w:cs="宋体"/>
                <w:kern w:val="0"/>
                <w:sz w:val="20"/>
                <w:szCs w:val="20"/>
                <w:lang w:val="en-US" w:eastAsia="zh-CN"/>
              </w:rPr>
              <w:t>实际到位</w:t>
            </w:r>
            <w:r>
              <w:rPr>
                <w:rFonts w:hint="eastAsia" w:ascii="仿宋" w:hAnsi="仿宋" w:eastAsia="仿宋" w:cs="宋体"/>
                <w:kern w:val="0"/>
                <w:sz w:val="20"/>
                <w:szCs w:val="20"/>
              </w:rPr>
              <w:t>资金）×100%。</w:t>
            </w:r>
          </w:p>
          <w:p>
            <w:pPr>
              <w:widowControl/>
              <w:jc w:val="left"/>
              <w:rPr>
                <w:rFonts w:hint="eastAsia" w:ascii="仿宋" w:hAnsi="仿宋" w:eastAsia="仿宋" w:cs="宋体"/>
                <w:kern w:val="0"/>
                <w:sz w:val="20"/>
                <w:szCs w:val="20"/>
                <w:lang w:val="en-US" w:eastAsia="zh-CN"/>
              </w:rPr>
            </w:pPr>
            <w:r>
              <w:rPr>
                <w:rFonts w:hint="eastAsia" w:ascii="仿宋" w:hAnsi="仿宋" w:eastAsia="仿宋" w:cs="宋体"/>
                <w:kern w:val="0"/>
                <w:sz w:val="20"/>
                <w:szCs w:val="20"/>
              </w:rPr>
              <w:t>实际</w:t>
            </w:r>
            <w:r>
              <w:rPr>
                <w:rFonts w:hint="eastAsia" w:ascii="仿宋" w:hAnsi="仿宋" w:eastAsia="仿宋" w:cs="宋体"/>
                <w:kern w:val="0"/>
                <w:sz w:val="20"/>
                <w:szCs w:val="20"/>
                <w:lang w:val="en-US" w:eastAsia="zh-CN"/>
              </w:rPr>
              <w:t>支出资金：2020年度基本公共卫生项目实际支出的资金；</w:t>
            </w:r>
          </w:p>
          <w:p>
            <w:pPr>
              <w:pStyle w:val="2"/>
              <w:rPr>
                <w:rFonts w:hint="default"/>
                <w:sz w:val="20"/>
                <w:szCs w:val="20"/>
                <w:lang w:val="en-US"/>
              </w:rPr>
            </w:pPr>
            <w:r>
              <w:rPr>
                <w:rFonts w:hint="eastAsia" w:ascii="仿宋" w:hAnsi="仿宋" w:eastAsia="仿宋" w:cs="宋体"/>
                <w:kern w:val="0"/>
                <w:sz w:val="20"/>
                <w:szCs w:val="20"/>
                <w:lang w:val="en-US" w:eastAsia="zh-CN"/>
              </w:rPr>
              <w:t>实际到位资金：2020年度落实到基本公共卫生项目的资金</w:t>
            </w:r>
          </w:p>
          <w:p>
            <w:pPr>
              <w:widowControl/>
              <w:jc w:val="left"/>
              <w:rPr>
                <w:rFonts w:hint="eastAsia" w:ascii="仿宋" w:hAnsi="仿宋" w:eastAsia="仿宋" w:cs="宋体"/>
                <w:kern w:val="0"/>
                <w:sz w:val="20"/>
                <w:szCs w:val="20"/>
                <w:lang w:val="en-US" w:eastAsia="zh-CN"/>
              </w:rPr>
            </w:pPr>
            <w:r>
              <w:rPr>
                <w:rFonts w:hint="eastAsia" w:ascii="仿宋" w:hAnsi="仿宋" w:eastAsia="仿宋" w:cs="宋体"/>
                <w:kern w:val="0"/>
                <w:sz w:val="20"/>
                <w:szCs w:val="20"/>
              </w:rPr>
              <w:t>预算执行率100%，得</w:t>
            </w:r>
            <w:r>
              <w:rPr>
                <w:rFonts w:hint="eastAsia" w:ascii="仿宋" w:hAnsi="仿宋" w:eastAsia="仿宋" w:cs="宋体"/>
                <w:kern w:val="0"/>
                <w:sz w:val="20"/>
                <w:szCs w:val="20"/>
                <w:lang w:val="en-US" w:eastAsia="zh-CN"/>
              </w:rPr>
              <w:t>2</w:t>
            </w:r>
            <w:r>
              <w:rPr>
                <w:rFonts w:hint="eastAsia" w:ascii="仿宋" w:hAnsi="仿宋" w:eastAsia="仿宋" w:cs="宋体"/>
                <w:kern w:val="0"/>
                <w:sz w:val="20"/>
                <w:szCs w:val="20"/>
              </w:rPr>
              <w:t>分，低于60%不得分,60%至100%之间按比例计算得分。</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lang w:val="en-US" w:eastAsia="zh-CN"/>
              </w:rPr>
            </w:pPr>
            <w:r>
              <w:rPr>
                <w:rFonts w:hint="eastAsia" w:ascii="仿宋" w:hAnsi="仿宋" w:eastAsia="仿宋" w:cs="宋体"/>
                <w:kern w:val="0"/>
                <w:sz w:val="22"/>
                <w:szCs w:val="22"/>
                <w:lang w:val="en-US" w:eastAsia="zh-CN"/>
              </w:rPr>
              <w:t>1.4</w:t>
            </w:r>
          </w:p>
        </w:tc>
      </w:tr>
      <w:tr>
        <w:tblPrEx>
          <w:tblCellMar>
            <w:top w:w="0" w:type="dxa"/>
            <w:left w:w="108" w:type="dxa"/>
            <w:bottom w:w="0" w:type="dxa"/>
            <w:right w:w="108" w:type="dxa"/>
          </w:tblCellMar>
        </w:tblPrEx>
        <w:trPr>
          <w:trHeight w:val="90" w:hRule="atLeast"/>
        </w:trPr>
        <w:tc>
          <w:tcPr>
            <w:tcW w:w="1170"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宋体"/>
                <w:kern w:val="0"/>
                <w:sz w:val="22"/>
                <w:szCs w:val="22"/>
              </w:rPr>
            </w:pPr>
          </w:p>
        </w:tc>
        <w:tc>
          <w:tcPr>
            <w:tcW w:w="1100"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宋体"/>
                <w:kern w:val="0"/>
                <w:sz w:val="20"/>
                <w:szCs w:val="20"/>
              </w:rPr>
            </w:pPr>
          </w:p>
        </w:tc>
        <w:tc>
          <w:tcPr>
            <w:tcW w:w="135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资金使用合规性</w:t>
            </w:r>
          </w:p>
        </w:tc>
        <w:tc>
          <w:tcPr>
            <w:tcW w:w="52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val="en-US" w:eastAsia="zh-CN"/>
              </w:rPr>
              <w:t>6</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0"/>
                <w:szCs w:val="20"/>
              </w:rPr>
            </w:pPr>
            <w:r>
              <w:rPr>
                <w:rFonts w:hint="eastAsia" w:ascii="仿宋" w:hAnsi="仿宋" w:eastAsia="仿宋" w:cs="宋体"/>
                <w:kern w:val="0"/>
                <w:sz w:val="20"/>
                <w:szCs w:val="20"/>
                <w:lang w:eastAsia="zh-CN"/>
              </w:rPr>
              <w:t>项目</w:t>
            </w:r>
            <w:r>
              <w:rPr>
                <w:rFonts w:hint="eastAsia" w:ascii="仿宋" w:hAnsi="仿宋" w:eastAsia="仿宋" w:cs="宋体"/>
                <w:kern w:val="0"/>
                <w:sz w:val="20"/>
                <w:szCs w:val="20"/>
              </w:rPr>
              <w:t>资金使用是否符合专项资金管理办法、财务管理制度规定，用以评价资金的规范运行情况。</w:t>
            </w:r>
          </w:p>
        </w:tc>
        <w:tc>
          <w:tcPr>
            <w:tcW w:w="6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通用标准</w:t>
            </w:r>
          </w:p>
        </w:tc>
        <w:tc>
          <w:tcPr>
            <w:tcW w:w="6350" w:type="dxa"/>
            <w:tcBorders>
              <w:top w:val="nil"/>
              <w:left w:val="nil"/>
              <w:bottom w:val="single" w:color="auto" w:sz="4" w:space="0"/>
              <w:right w:val="single" w:color="auto" w:sz="4" w:space="0"/>
            </w:tcBorders>
            <w:shd w:val="clear" w:color="auto" w:fill="auto"/>
            <w:vAlign w:val="center"/>
          </w:tcPr>
          <w:p>
            <w:pPr>
              <w:widowControl/>
              <w:numPr>
                <w:ilvl w:val="0"/>
                <w:numId w:val="4"/>
              </w:numPr>
              <w:jc w:val="left"/>
              <w:rPr>
                <w:rFonts w:hint="eastAsia" w:ascii="仿宋" w:hAnsi="仿宋" w:eastAsia="仿宋" w:cs="宋体"/>
                <w:kern w:val="0"/>
                <w:sz w:val="20"/>
                <w:szCs w:val="20"/>
              </w:rPr>
            </w:pPr>
            <w:r>
              <w:rPr>
                <w:rFonts w:hint="eastAsia" w:ascii="仿宋" w:hAnsi="仿宋" w:eastAsia="仿宋" w:cs="宋体"/>
                <w:kern w:val="0"/>
                <w:sz w:val="20"/>
                <w:szCs w:val="20"/>
              </w:rPr>
              <w:t>资金使用符合</w:t>
            </w:r>
            <w:r>
              <w:rPr>
                <w:rFonts w:hint="eastAsia" w:ascii="仿宋" w:hAnsi="仿宋" w:eastAsia="仿宋" w:cs="宋体"/>
                <w:kern w:val="0"/>
                <w:sz w:val="20"/>
                <w:szCs w:val="20"/>
                <w:lang w:eastAsia="zh-CN"/>
              </w:rPr>
              <w:t>相关财务</w:t>
            </w:r>
            <w:r>
              <w:rPr>
                <w:rFonts w:hint="eastAsia" w:ascii="仿宋" w:hAnsi="仿宋" w:eastAsia="仿宋" w:cs="宋体"/>
                <w:kern w:val="0"/>
                <w:sz w:val="20"/>
                <w:szCs w:val="20"/>
              </w:rPr>
              <w:t>管理办法的规定，得1分，否则不得分；</w:t>
            </w:r>
          </w:p>
          <w:p>
            <w:pPr>
              <w:widowControl/>
              <w:numPr>
                <w:ilvl w:val="0"/>
                <w:numId w:val="4"/>
              </w:numPr>
              <w:jc w:val="left"/>
              <w:rPr>
                <w:rFonts w:hint="eastAsia" w:ascii="仿宋" w:hAnsi="仿宋" w:eastAsia="仿宋" w:cs="宋体"/>
                <w:kern w:val="0"/>
                <w:sz w:val="20"/>
                <w:szCs w:val="20"/>
              </w:rPr>
            </w:pPr>
            <w:r>
              <w:rPr>
                <w:rFonts w:hint="eastAsia" w:ascii="仿宋" w:hAnsi="仿宋" w:eastAsia="仿宋" w:cs="宋体"/>
                <w:kern w:val="0"/>
                <w:sz w:val="20"/>
                <w:szCs w:val="20"/>
              </w:rPr>
              <w:t>2.</w:t>
            </w:r>
            <w:r>
              <w:rPr>
                <w:rFonts w:hint="eastAsia" w:ascii="仿宋" w:hAnsi="仿宋" w:eastAsia="仿宋" w:cs="宋体"/>
                <w:kern w:val="0"/>
                <w:sz w:val="20"/>
                <w:szCs w:val="20"/>
                <w:lang w:eastAsia="zh-CN"/>
              </w:rPr>
              <w:t>资金</w:t>
            </w:r>
            <w:r>
              <w:rPr>
                <w:rFonts w:hint="eastAsia" w:ascii="仿宋" w:hAnsi="仿宋" w:eastAsia="仿宋" w:cs="宋体"/>
                <w:kern w:val="0"/>
                <w:sz w:val="20"/>
                <w:szCs w:val="20"/>
              </w:rPr>
              <w:t>的</w:t>
            </w:r>
            <w:r>
              <w:rPr>
                <w:rFonts w:hint="eastAsia" w:ascii="仿宋" w:hAnsi="仿宋" w:eastAsia="仿宋" w:cs="宋体"/>
                <w:kern w:val="0"/>
                <w:sz w:val="20"/>
                <w:szCs w:val="20"/>
                <w:lang w:val="en-US" w:eastAsia="zh-CN"/>
              </w:rPr>
              <w:t>申请、分配、</w:t>
            </w:r>
            <w:r>
              <w:rPr>
                <w:rFonts w:hint="eastAsia" w:ascii="仿宋" w:hAnsi="仿宋" w:eastAsia="仿宋" w:cs="宋体"/>
                <w:kern w:val="0"/>
                <w:sz w:val="20"/>
                <w:szCs w:val="20"/>
              </w:rPr>
              <w:t>拨付</w:t>
            </w:r>
            <w:r>
              <w:rPr>
                <w:rFonts w:hint="eastAsia" w:ascii="仿宋" w:hAnsi="仿宋" w:eastAsia="仿宋" w:cs="宋体"/>
                <w:kern w:val="0"/>
                <w:sz w:val="20"/>
                <w:szCs w:val="20"/>
                <w:lang w:eastAsia="zh-CN"/>
              </w:rPr>
              <w:t>、</w:t>
            </w:r>
            <w:r>
              <w:rPr>
                <w:rFonts w:hint="eastAsia" w:ascii="仿宋" w:hAnsi="仿宋" w:eastAsia="仿宋" w:cs="宋体"/>
                <w:kern w:val="0"/>
                <w:sz w:val="20"/>
                <w:szCs w:val="20"/>
                <w:lang w:val="en-US" w:eastAsia="zh-CN"/>
              </w:rPr>
              <w:t>使用</w:t>
            </w:r>
            <w:r>
              <w:rPr>
                <w:rFonts w:hint="eastAsia" w:ascii="仿宋" w:hAnsi="仿宋" w:eastAsia="仿宋" w:cs="宋体"/>
                <w:kern w:val="0"/>
                <w:sz w:val="20"/>
                <w:szCs w:val="20"/>
              </w:rPr>
              <w:t>有完整的审批程序和手续，得</w:t>
            </w:r>
            <w:r>
              <w:rPr>
                <w:rFonts w:hint="eastAsia" w:ascii="仿宋" w:hAnsi="仿宋" w:eastAsia="仿宋" w:cs="宋体"/>
                <w:kern w:val="0"/>
                <w:sz w:val="20"/>
                <w:szCs w:val="20"/>
                <w:lang w:val="en-US" w:eastAsia="zh-CN"/>
              </w:rPr>
              <w:t>1</w:t>
            </w:r>
            <w:r>
              <w:rPr>
                <w:rFonts w:hint="eastAsia" w:ascii="仿宋" w:hAnsi="仿宋" w:eastAsia="仿宋" w:cs="宋体"/>
                <w:kern w:val="0"/>
                <w:sz w:val="20"/>
                <w:szCs w:val="20"/>
              </w:rPr>
              <w:t>分，否则不得分；</w:t>
            </w:r>
          </w:p>
          <w:p>
            <w:pPr>
              <w:widowControl/>
              <w:numPr>
                <w:ilvl w:val="0"/>
                <w:numId w:val="4"/>
              </w:numPr>
              <w:jc w:val="left"/>
              <w:rPr>
                <w:rFonts w:hint="eastAsia" w:ascii="仿宋" w:hAnsi="仿宋" w:eastAsia="仿宋" w:cs="宋体"/>
                <w:kern w:val="0"/>
                <w:sz w:val="20"/>
                <w:szCs w:val="20"/>
              </w:rPr>
            </w:pPr>
            <w:r>
              <w:rPr>
                <w:rFonts w:hint="eastAsia" w:ascii="仿宋" w:hAnsi="仿宋" w:eastAsia="仿宋" w:cs="宋体"/>
                <w:kern w:val="0"/>
                <w:sz w:val="20"/>
                <w:szCs w:val="20"/>
                <w:lang w:val="en-US" w:eastAsia="zh-CN"/>
              </w:rPr>
              <w:t>3.基本公卫</w:t>
            </w:r>
            <w:r>
              <w:rPr>
                <w:rFonts w:hint="eastAsia" w:ascii="仿宋" w:hAnsi="仿宋" w:eastAsia="仿宋" w:cs="宋体"/>
                <w:kern w:val="0"/>
                <w:sz w:val="20"/>
                <w:szCs w:val="20"/>
              </w:rPr>
              <w:t>专项资金的重大开支经过评估认证，得1分，否则不得分</w:t>
            </w:r>
          </w:p>
          <w:p>
            <w:pPr>
              <w:widowControl/>
              <w:numPr>
                <w:ilvl w:val="0"/>
                <w:numId w:val="0"/>
              </w:numPr>
              <w:jc w:val="left"/>
              <w:rPr>
                <w:rFonts w:ascii="仿宋" w:hAnsi="仿宋" w:eastAsia="仿宋" w:cs="宋体"/>
                <w:kern w:val="0"/>
                <w:sz w:val="20"/>
                <w:szCs w:val="20"/>
              </w:rPr>
            </w:pPr>
            <w:r>
              <w:rPr>
                <w:rFonts w:hint="eastAsia" w:ascii="仿宋" w:hAnsi="仿宋" w:eastAsia="仿宋" w:cs="宋体"/>
                <w:kern w:val="0"/>
                <w:sz w:val="20"/>
                <w:szCs w:val="20"/>
                <w:lang w:val="en-US" w:eastAsia="zh-CN"/>
              </w:rPr>
              <w:t>4</w:t>
            </w:r>
            <w:r>
              <w:rPr>
                <w:rFonts w:hint="eastAsia" w:ascii="仿宋" w:hAnsi="仿宋" w:eastAsia="仿宋" w:cs="宋体"/>
                <w:kern w:val="0"/>
                <w:sz w:val="20"/>
                <w:szCs w:val="20"/>
              </w:rPr>
              <w:t>.资金使用符合项目规定的用途，得</w:t>
            </w:r>
            <w:r>
              <w:rPr>
                <w:rFonts w:hint="eastAsia" w:ascii="仿宋" w:hAnsi="仿宋" w:eastAsia="仿宋" w:cs="宋体"/>
                <w:kern w:val="0"/>
                <w:sz w:val="20"/>
                <w:szCs w:val="20"/>
                <w:lang w:val="en-US" w:eastAsia="zh-CN"/>
              </w:rPr>
              <w:t>2</w:t>
            </w:r>
            <w:r>
              <w:rPr>
                <w:rFonts w:hint="eastAsia" w:ascii="仿宋" w:hAnsi="仿宋" w:eastAsia="仿宋" w:cs="宋体"/>
                <w:kern w:val="0"/>
                <w:sz w:val="20"/>
                <w:szCs w:val="20"/>
              </w:rPr>
              <w:t>分，否则不得分；</w:t>
            </w:r>
          </w:p>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val="en-US" w:eastAsia="zh-CN"/>
              </w:rPr>
              <w:t>5</w:t>
            </w:r>
            <w:r>
              <w:rPr>
                <w:rFonts w:ascii="仿宋" w:hAnsi="仿宋" w:eastAsia="仿宋" w:cs="宋体"/>
                <w:kern w:val="0"/>
                <w:sz w:val="20"/>
                <w:szCs w:val="20"/>
              </w:rPr>
              <w:t>.</w:t>
            </w:r>
            <w:r>
              <w:rPr>
                <w:rFonts w:hint="eastAsia" w:ascii="仿宋" w:hAnsi="仿宋" w:eastAsia="仿宋" w:cs="宋体"/>
                <w:kern w:val="0"/>
                <w:sz w:val="20"/>
                <w:szCs w:val="20"/>
              </w:rPr>
              <w:t>资金核算做到专款专用、单独核算，得1分，否则不得分。</w:t>
            </w:r>
          </w:p>
          <w:p>
            <w:pPr>
              <w:widowControl/>
              <w:jc w:val="left"/>
              <w:rPr>
                <w:rFonts w:ascii="仿宋" w:hAnsi="仿宋" w:eastAsia="仿宋" w:cs="宋体"/>
                <w:kern w:val="0"/>
                <w:sz w:val="20"/>
                <w:szCs w:val="20"/>
              </w:rPr>
            </w:pPr>
            <w:r>
              <w:rPr>
                <w:rFonts w:hint="eastAsia" w:ascii="仿宋" w:hAnsi="仿宋" w:eastAsia="仿宋" w:cs="宋体"/>
                <w:kern w:val="0"/>
                <w:sz w:val="20"/>
                <w:szCs w:val="20"/>
              </w:rPr>
              <w:t>如发现存在截留、挤占、挪用、虚列支出等情况，本指标不得分。</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lang w:val="en-US" w:eastAsia="zh-CN"/>
              </w:rPr>
              <w:t>3.68</w:t>
            </w:r>
            <w:r>
              <w:rPr>
                <w:rFonts w:hint="eastAsia" w:ascii="仿宋" w:hAnsi="仿宋" w:eastAsia="仿宋" w:cs="宋体"/>
                <w:kern w:val="0"/>
                <w:sz w:val="22"/>
                <w:szCs w:val="22"/>
              </w:rPr>
              <w:t>　</w:t>
            </w:r>
          </w:p>
        </w:tc>
      </w:tr>
      <w:tr>
        <w:tblPrEx>
          <w:tblCellMar>
            <w:top w:w="0" w:type="dxa"/>
            <w:left w:w="108" w:type="dxa"/>
            <w:bottom w:w="0" w:type="dxa"/>
            <w:right w:w="108" w:type="dxa"/>
          </w:tblCellMar>
        </w:tblPrEx>
        <w:trPr>
          <w:trHeight w:val="1206" w:hRule="atLeast"/>
        </w:trPr>
        <w:tc>
          <w:tcPr>
            <w:tcW w:w="117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 w:val="22"/>
                <w:szCs w:val="22"/>
              </w:rPr>
            </w:pPr>
          </w:p>
          <w:p>
            <w:pPr>
              <w:jc w:val="center"/>
              <w:rPr>
                <w:rFonts w:ascii="仿宋" w:hAnsi="仿宋" w:eastAsia="仿宋" w:cs="宋体"/>
                <w:kern w:val="0"/>
                <w:sz w:val="22"/>
                <w:szCs w:val="22"/>
              </w:rPr>
            </w:pPr>
          </w:p>
          <w:p>
            <w:pPr>
              <w:jc w:val="center"/>
              <w:rPr>
                <w:rFonts w:hint="eastAsia" w:ascii="仿宋" w:hAnsi="仿宋" w:eastAsia="仿宋" w:cs="宋体"/>
                <w:kern w:val="0"/>
                <w:sz w:val="22"/>
                <w:szCs w:val="22"/>
                <w:lang w:val="en-US" w:eastAsia="zh-CN" w:bidi="ar-SA"/>
              </w:rPr>
            </w:pPr>
          </w:p>
          <w:p>
            <w:pPr>
              <w:jc w:val="center"/>
              <w:rPr>
                <w:rFonts w:hint="eastAsia" w:ascii="仿宋" w:hAnsi="仿宋" w:eastAsia="仿宋" w:cs="宋体"/>
                <w:kern w:val="0"/>
                <w:sz w:val="22"/>
                <w:szCs w:val="22"/>
                <w:lang w:val="en-US" w:eastAsia="zh-CN" w:bidi="ar-SA"/>
              </w:rPr>
            </w:pPr>
          </w:p>
          <w:p>
            <w:pPr>
              <w:jc w:val="center"/>
              <w:rPr>
                <w:rFonts w:hint="eastAsia" w:ascii="仿宋" w:hAnsi="仿宋" w:eastAsia="仿宋" w:cs="宋体"/>
                <w:kern w:val="0"/>
                <w:sz w:val="22"/>
                <w:szCs w:val="22"/>
                <w:lang w:val="en-US" w:eastAsia="zh-CN" w:bidi="ar-SA"/>
              </w:rPr>
            </w:pPr>
          </w:p>
          <w:p>
            <w:pPr>
              <w:jc w:val="center"/>
              <w:rPr>
                <w:rFonts w:hint="eastAsia" w:ascii="仿宋" w:hAnsi="仿宋" w:eastAsia="仿宋" w:cs="宋体"/>
                <w:kern w:val="0"/>
                <w:sz w:val="22"/>
                <w:szCs w:val="22"/>
                <w:lang w:val="en-US" w:eastAsia="zh-CN" w:bidi="ar-SA"/>
              </w:rPr>
            </w:pPr>
          </w:p>
          <w:p>
            <w:pPr>
              <w:jc w:val="center"/>
              <w:rPr>
                <w:rFonts w:hint="eastAsia" w:ascii="仿宋" w:hAnsi="仿宋" w:eastAsia="仿宋" w:cs="宋体"/>
                <w:kern w:val="0"/>
                <w:sz w:val="22"/>
                <w:szCs w:val="22"/>
                <w:lang w:val="en-US" w:eastAsia="zh-CN" w:bidi="ar-SA"/>
              </w:rPr>
            </w:pPr>
          </w:p>
          <w:p>
            <w:pPr>
              <w:jc w:val="center"/>
              <w:rPr>
                <w:rFonts w:hint="eastAsia" w:ascii="仿宋" w:hAnsi="仿宋" w:eastAsia="仿宋" w:cs="宋体"/>
                <w:kern w:val="0"/>
                <w:sz w:val="22"/>
                <w:szCs w:val="22"/>
                <w:lang w:val="en-US" w:eastAsia="zh-CN" w:bidi="ar-SA"/>
              </w:rPr>
            </w:pPr>
          </w:p>
          <w:p>
            <w:pPr>
              <w:jc w:val="center"/>
              <w:rPr>
                <w:rFonts w:hint="eastAsia" w:ascii="仿宋" w:hAnsi="仿宋" w:eastAsia="仿宋" w:cs="宋体"/>
                <w:kern w:val="0"/>
                <w:sz w:val="22"/>
                <w:szCs w:val="22"/>
                <w:lang w:val="en-US" w:eastAsia="zh-CN" w:bidi="ar-SA"/>
              </w:rPr>
            </w:pPr>
          </w:p>
          <w:p>
            <w:pPr>
              <w:jc w:val="center"/>
              <w:rPr>
                <w:rFonts w:hint="eastAsia" w:ascii="仿宋" w:hAnsi="仿宋" w:eastAsia="仿宋" w:cs="宋体"/>
                <w:kern w:val="0"/>
                <w:sz w:val="22"/>
                <w:szCs w:val="22"/>
                <w:lang w:val="en-US" w:eastAsia="zh-CN" w:bidi="ar-SA"/>
              </w:rPr>
            </w:pPr>
          </w:p>
          <w:p>
            <w:pPr>
              <w:jc w:val="center"/>
              <w:rPr>
                <w:rFonts w:hint="eastAsia" w:ascii="仿宋" w:hAnsi="仿宋" w:eastAsia="仿宋" w:cs="宋体"/>
                <w:kern w:val="0"/>
                <w:sz w:val="22"/>
                <w:szCs w:val="22"/>
                <w:lang w:val="en-US" w:eastAsia="zh-CN" w:bidi="ar-SA"/>
              </w:rPr>
            </w:pPr>
          </w:p>
          <w:p>
            <w:pPr>
              <w:jc w:val="center"/>
              <w:rPr>
                <w:rFonts w:hint="eastAsia" w:ascii="仿宋" w:hAnsi="仿宋" w:eastAsia="仿宋" w:cs="宋体"/>
                <w:kern w:val="0"/>
                <w:sz w:val="22"/>
                <w:szCs w:val="22"/>
                <w:lang w:val="en-US" w:eastAsia="zh-CN" w:bidi="ar-SA"/>
              </w:rPr>
            </w:pPr>
          </w:p>
          <w:p>
            <w:pPr>
              <w:jc w:val="center"/>
              <w:rPr>
                <w:rFonts w:hint="eastAsia" w:ascii="仿宋" w:hAnsi="仿宋" w:eastAsia="仿宋" w:cs="宋体"/>
                <w:kern w:val="0"/>
                <w:sz w:val="22"/>
                <w:szCs w:val="22"/>
                <w:lang w:val="en-US" w:eastAsia="zh-CN" w:bidi="ar-SA"/>
              </w:rPr>
            </w:pPr>
          </w:p>
          <w:p>
            <w:pPr>
              <w:jc w:val="center"/>
              <w:rPr>
                <w:rFonts w:hint="eastAsia" w:ascii="仿宋" w:hAnsi="仿宋" w:eastAsia="仿宋" w:cs="宋体"/>
                <w:kern w:val="0"/>
                <w:sz w:val="22"/>
                <w:szCs w:val="22"/>
                <w:lang w:val="en-US" w:eastAsia="zh-CN" w:bidi="ar-SA"/>
              </w:rPr>
            </w:pPr>
            <w:r>
              <w:rPr>
                <w:rFonts w:hint="eastAsia" w:ascii="仿宋" w:hAnsi="仿宋" w:eastAsia="仿宋" w:cs="宋体"/>
                <w:kern w:val="0"/>
                <w:sz w:val="22"/>
                <w:szCs w:val="22"/>
                <w:lang w:val="en-US" w:eastAsia="zh-CN" w:bidi="ar-SA"/>
              </w:rPr>
              <w:t xml:space="preserve">过程 </w:t>
            </w:r>
          </w:p>
          <w:p>
            <w:pPr>
              <w:jc w:val="center"/>
              <w:rPr>
                <w:rFonts w:hint="default" w:ascii="仿宋" w:hAnsi="仿宋" w:eastAsia="仿宋" w:cs="宋体"/>
                <w:kern w:val="0"/>
                <w:sz w:val="22"/>
                <w:szCs w:val="22"/>
                <w:lang w:val="en-US" w:eastAsia="zh-CN" w:bidi="ar-SA"/>
              </w:rPr>
            </w:pPr>
            <w:r>
              <w:rPr>
                <w:rFonts w:hint="eastAsia" w:ascii="仿宋" w:hAnsi="仿宋" w:eastAsia="仿宋" w:cs="宋体"/>
                <w:kern w:val="0"/>
                <w:sz w:val="22"/>
                <w:szCs w:val="22"/>
              </w:rPr>
              <w:t>（</w:t>
            </w:r>
            <w:r>
              <w:rPr>
                <w:rFonts w:hint="eastAsia" w:ascii="仿宋" w:hAnsi="仿宋" w:eastAsia="仿宋" w:cs="宋体"/>
                <w:kern w:val="0"/>
                <w:sz w:val="22"/>
                <w:szCs w:val="22"/>
                <w:lang w:val="en-US" w:eastAsia="zh-CN"/>
              </w:rPr>
              <w:t>24</w:t>
            </w:r>
            <w:r>
              <w:rPr>
                <w:rFonts w:hint="eastAsia" w:ascii="仿宋" w:hAnsi="仿宋" w:eastAsia="仿宋" w:cs="宋体"/>
                <w:kern w:val="0"/>
                <w:sz w:val="22"/>
                <w:szCs w:val="22"/>
              </w:rPr>
              <w:t>分）</w:t>
            </w:r>
          </w:p>
        </w:tc>
        <w:tc>
          <w:tcPr>
            <w:tcW w:w="110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 w:val="22"/>
                <w:szCs w:val="22"/>
                <w:lang w:val="en-US" w:eastAsia="zh-CN"/>
              </w:rPr>
            </w:pPr>
          </w:p>
          <w:p>
            <w:pPr>
              <w:widowControl/>
              <w:jc w:val="center"/>
              <w:rPr>
                <w:rFonts w:hint="eastAsia" w:ascii="仿宋" w:hAnsi="仿宋" w:eastAsia="仿宋" w:cs="宋体"/>
                <w:kern w:val="0"/>
                <w:sz w:val="22"/>
                <w:szCs w:val="22"/>
                <w:lang w:val="en-US" w:eastAsia="zh-CN"/>
              </w:rPr>
            </w:pPr>
          </w:p>
          <w:p>
            <w:pPr>
              <w:widowControl/>
              <w:jc w:val="center"/>
              <w:rPr>
                <w:rFonts w:hint="eastAsia" w:ascii="仿宋" w:hAnsi="仿宋" w:eastAsia="仿宋" w:cs="宋体"/>
                <w:kern w:val="0"/>
                <w:sz w:val="22"/>
                <w:szCs w:val="22"/>
                <w:lang w:val="en-US" w:eastAsia="zh-CN"/>
              </w:rPr>
            </w:pPr>
          </w:p>
          <w:p>
            <w:pPr>
              <w:widowControl/>
              <w:jc w:val="center"/>
              <w:rPr>
                <w:rFonts w:hint="eastAsia" w:ascii="仿宋" w:hAnsi="仿宋" w:eastAsia="仿宋" w:cs="宋体"/>
                <w:kern w:val="0"/>
                <w:sz w:val="22"/>
                <w:szCs w:val="22"/>
                <w:lang w:val="en-US" w:eastAsia="zh-CN"/>
              </w:rPr>
            </w:pPr>
          </w:p>
          <w:p>
            <w:pPr>
              <w:widowControl/>
              <w:jc w:val="center"/>
              <w:rPr>
                <w:rFonts w:hint="eastAsia" w:ascii="仿宋" w:hAnsi="仿宋" w:eastAsia="仿宋" w:cs="宋体"/>
                <w:kern w:val="0"/>
                <w:sz w:val="22"/>
                <w:szCs w:val="22"/>
                <w:lang w:val="en-US" w:eastAsia="zh-CN"/>
              </w:rPr>
            </w:pPr>
          </w:p>
          <w:p>
            <w:pPr>
              <w:widowControl/>
              <w:jc w:val="center"/>
              <w:rPr>
                <w:rFonts w:hint="eastAsia" w:ascii="仿宋" w:hAnsi="仿宋" w:eastAsia="仿宋" w:cs="宋体"/>
                <w:kern w:val="0"/>
                <w:sz w:val="22"/>
                <w:szCs w:val="22"/>
                <w:lang w:val="en-US" w:eastAsia="zh-CN"/>
              </w:rPr>
            </w:pPr>
          </w:p>
          <w:p>
            <w:pPr>
              <w:widowControl/>
              <w:jc w:val="center"/>
              <w:rPr>
                <w:rFonts w:hint="eastAsia" w:ascii="仿宋" w:hAnsi="仿宋" w:eastAsia="仿宋" w:cs="宋体"/>
                <w:kern w:val="0"/>
                <w:sz w:val="22"/>
                <w:szCs w:val="22"/>
                <w:lang w:val="en-US" w:eastAsia="zh-CN"/>
              </w:rPr>
            </w:pPr>
          </w:p>
          <w:p>
            <w:pPr>
              <w:widowControl/>
              <w:jc w:val="center"/>
              <w:rPr>
                <w:rFonts w:hint="eastAsia" w:ascii="仿宋" w:hAnsi="仿宋" w:eastAsia="仿宋" w:cs="宋体"/>
                <w:kern w:val="0"/>
                <w:sz w:val="22"/>
                <w:szCs w:val="22"/>
                <w:lang w:val="en-US" w:eastAsia="zh-CN"/>
              </w:rPr>
            </w:pPr>
          </w:p>
          <w:p>
            <w:pPr>
              <w:widowControl/>
              <w:jc w:val="center"/>
              <w:rPr>
                <w:rFonts w:hint="eastAsia" w:ascii="仿宋" w:hAnsi="仿宋" w:eastAsia="仿宋" w:cs="宋体"/>
                <w:kern w:val="0"/>
                <w:sz w:val="22"/>
                <w:szCs w:val="22"/>
                <w:lang w:val="en-US" w:eastAsia="zh-CN"/>
              </w:rPr>
            </w:pPr>
          </w:p>
          <w:p>
            <w:pPr>
              <w:widowControl/>
              <w:jc w:val="center"/>
              <w:rPr>
                <w:rFonts w:hint="eastAsia" w:ascii="仿宋" w:hAnsi="仿宋" w:eastAsia="仿宋" w:cs="宋体"/>
                <w:kern w:val="0"/>
                <w:sz w:val="22"/>
                <w:szCs w:val="22"/>
                <w:lang w:val="en-US" w:eastAsia="zh-CN"/>
              </w:rPr>
            </w:pPr>
          </w:p>
          <w:p>
            <w:pPr>
              <w:widowControl/>
              <w:jc w:val="center"/>
              <w:rPr>
                <w:rFonts w:hint="eastAsia" w:ascii="仿宋" w:hAnsi="仿宋" w:eastAsia="仿宋" w:cs="宋体"/>
                <w:kern w:val="0"/>
                <w:sz w:val="22"/>
                <w:szCs w:val="22"/>
                <w:lang w:val="en-US" w:eastAsia="zh-CN"/>
              </w:rPr>
            </w:pPr>
          </w:p>
          <w:p>
            <w:pPr>
              <w:widowControl/>
              <w:jc w:val="center"/>
              <w:rPr>
                <w:rFonts w:hint="eastAsia" w:ascii="仿宋" w:hAnsi="仿宋" w:eastAsia="仿宋" w:cs="宋体"/>
                <w:kern w:val="0"/>
                <w:sz w:val="22"/>
                <w:szCs w:val="22"/>
                <w:lang w:val="en-US" w:eastAsia="zh-CN"/>
              </w:rPr>
            </w:pPr>
          </w:p>
          <w:p>
            <w:pPr>
              <w:widowControl/>
              <w:jc w:val="center"/>
              <w:rPr>
                <w:rFonts w:hint="eastAsia" w:ascii="仿宋" w:hAnsi="仿宋" w:eastAsia="仿宋" w:cs="宋体"/>
                <w:kern w:val="0"/>
                <w:sz w:val="22"/>
                <w:szCs w:val="22"/>
                <w:lang w:val="en-US" w:eastAsia="zh-CN"/>
              </w:rPr>
            </w:pPr>
          </w:p>
          <w:p>
            <w:pPr>
              <w:widowControl/>
              <w:jc w:val="center"/>
              <w:rPr>
                <w:rFonts w:hint="eastAsia" w:ascii="仿宋" w:hAnsi="仿宋" w:eastAsia="仿宋" w:cs="宋体"/>
                <w:kern w:val="0"/>
                <w:sz w:val="22"/>
                <w:szCs w:val="22"/>
                <w:lang w:val="en-US" w:eastAsia="zh-CN"/>
              </w:rPr>
            </w:pPr>
          </w:p>
          <w:p>
            <w:pPr>
              <w:widowControl/>
              <w:jc w:val="center"/>
              <w:rPr>
                <w:rFonts w:hint="eastAsia" w:ascii="仿宋" w:hAnsi="仿宋" w:eastAsia="仿宋" w:cs="宋体"/>
                <w:kern w:val="0"/>
                <w:sz w:val="22"/>
                <w:szCs w:val="22"/>
                <w:lang w:val="en-US" w:eastAsia="zh-CN"/>
              </w:rPr>
            </w:pPr>
            <w:r>
              <w:rPr>
                <w:rFonts w:hint="eastAsia" w:ascii="仿宋" w:hAnsi="仿宋" w:eastAsia="仿宋" w:cs="宋体"/>
                <w:kern w:val="0"/>
                <w:sz w:val="22"/>
                <w:szCs w:val="22"/>
                <w:lang w:val="en-US" w:eastAsia="zh-CN"/>
              </w:rPr>
              <w:t>组织实施</w:t>
            </w:r>
          </w:p>
          <w:p>
            <w:pPr>
              <w:widowControl/>
              <w:jc w:val="center"/>
              <w:rPr>
                <w:rFonts w:hint="eastAsia" w:ascii="仿宋" w:hAnsi="仿宋" w:eastAsia="仿宋" w:cs="宋体"/>
                <w:kern w:val="0"/>
                <w:sz w:val="22"/>
                <w:szCs w:val="22"/>
              </w:rPr>
            </w:pPr>
            <w:r>
              <w:rPr>
                <w:rFonts w:hint="eastAsia" w:ascii="仿宋" w:hAnsi="仿宋" w:eastAsia="仿宋" w:cs="宋体"/>
                <w:kern w:val="0"/>
                <w:sz w:val="22"/>
                <w:szCs w:val="22"/>
              </w:rPr>
              <w:t>（</w:t>
            </w:r>
            <w:r>
              <w:rPr>
                <w:rFonts w:hint="eastAsia" w:ascii="仿宋" w:hAnsi="仿宋" w:eastAsia="仿宋" w:cs="宋体"/>
                <w:kern w:val="0"/>
                <w:sz w:val="22"/>
                <w:szCs w:val="22"/>
                <w:lang w:val="en-US" w:eastAsia="zh-CN"/>
              </w:rPr>
              <w:t>14</w:t>
            </w:r>
            <w:r>
              <w:rPr>
                <w:rFonts w:hint="eastAsia" w:ascii="仿宋" w:hAnsi="仿宋" w:eastAsia="仿宋" w:cs="宋体"/>
                <w:kern w:val="0"/>
                <w:sz w:val="22"/>
                <w:szCs w:val="22"/>
              </w:rPr>
              <w:t>分）</w:t>
            </w:r>
          </w:p>
          <w:p>
            <w:pPr>
              <w:jc w:val="center"/>
              <w:rPr>
                <w:rFonts w:ascii="仿宋" w:hAnsi="仿宋" w:eastAsia="仿宋" w:cs="宋体"/>
                <w:kern w:val="0"/>
                <w:sz w:val="22"/>
                <w:szCs w:val="22"/>
                <w:lang w:val="en-US" w:eastAsia="zh-CN" w:bidi="ar-SA"/>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仿宋" w:hAnsi="仿宋" w:eastAsia="仿宋" w:cs="宋体"/>
                <w:kern w:val="0"/>
                <w:sz w:val="20"/>
                <w:szCs w:val="20"/>
                <w:lang w:val="en-US" w:eastAsia="zh-CN" w:bidi="ar-SA"/>
              </w:rPr>
            </w:pPr>
            <w:r>
              <w:rPr>
                <w:rFonts w:hint="eastAsia" w:ascii="仿宋" w:hAnsi="仿宋" w:eastAsia="仿宋" w:cs="仿宋"/>
                <w:color w:val="000000"/>
                <w:kern w:val="0"/>
                <w:sz w:val="20"/>
                <w:szCs w:val="20"/>
                <w:lang w:val="en-US" w:eastAsia="zh-CN"/>
              </w:rPr>
              <w:t>组织分工</w:t>
            </w:r>
          </w:p>
        </w:tc>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宋体"/>
                <w:kern w:val="0"/>
                <w:sz w:val="20"/>
                <w:szCs w:val="20"/>
                <w:lang w:val="en-US" w:eastAsia="zh-CN" w:bidi="ar-SA"/>
              </w:rPr>
            </w:pPr>
            <w:r>
              <w:rPr>
                <w:rFonts w:hint="eastAsia" w:ascii="仿宋" w:hAnsi="仿宋" w:eastAsia="仿宋" w:cs="仿宋"/>
                <w:color w:val="000000"/>
                <w:kern w:val="0"/>
                <w:sz w:val="20"/>
                <w:szCs w:val="20"/>
                <w:lang w:val="en-US" w:eastAsia="zh-CN"/>
              </w:rPr>
              <w:t>2</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仿宋" w:hAnsi="仿宋" w:eastAsia="仿宋" w:cs="宋体"/>
                <w:kern w:val="0"/>
                <w:sz w:val="20"/>
                <w:szCs w:val="20"/>
                <w:lang w:val="en-US" w:eastAsia="zh-CN" w:bidi="ar-SA"/>
              </w:rPr>
            </w:pPr>
            <w:r>
              <w:rPr>
                <w:rFonts w:hint="eastAsia" w:ascii="仿宋" w:hAnsi="仿宋" w:eastAsia="仿宋" w:cs="仿宋"/>
                <w:color w:val="000000"/>
                <w:kern w:val="0"/>
                <w:sz w:val="20"/>
                <w:szCs w:val="20"/>
                <w:lang w:val="en-US" w:eastAsia="zh-CN"/>
              </w:rPr>
              <w:t>项目</w:t>
            </w:r>
            <w:r>
              <w:rPr>
                <w:rFonts w:hint="eastAsia" w:ascii="仿宋" w:hAnsi="仿宋" w:eastAsia="仿宋" w:cs="仿宋"/>
                <w:color w:val="000000"/>
                <w:kern w:val="0"/>
                <w:sz w:val="20"/>
                <w:szCs w:val="20"/>
              </w:rPr>
              <w:t>组织机构是否健全，分工是否明确。</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0"/>
                <w:szCs w:val="20"/>
                <w:lang w:val="en-US" w:eastAsia="zh-CN" w:bidi="ar-SA"/>
              </w:rPr>
            </w:pPr>
            <w:r>
              <w:rPr>
                <w:rFonts w:hint="eastAsia" w:ascii="仿宋" w:hAnsi="仿宋" w:eastAsia="仿宋" w:cs="宋体"/>
                <w:color w:val="000000"/>
                <w:kern w:val="0"/>
                <w:sz w:val="20"/>
                <w:szCs w:val="20"/>
              </w:rPr>
              <w:t>通用标准</w:t>
            </w:r>
          </w:p>
        </w:tc>
        <w:tc>
          <w:tcPr>
            <w:tcW w:w="63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eastAsia="仿宋" w:asciiTheme="minorHAnsi" w:hAnsiTheme="minorHAnsi" w:cstheme="minorBidi"/>
                <w:kern w:val="2"/>
                <w:sz w:val="20"/>
                <w:szCs w:val="20"/>
                <w:lang w:val="en-US" w:eastAsia="zh-CN" w:bidi="ar-SA"/>
              </w:rPr>
            </w:pPr>
            <w:r>
              <w:rPr>
                <w:rFonts w:hint="eastAsia" w:ascii="仿宋" w:hAnsi="仿宋" w:eastAsia="仿宋" w:cs="宋体"/>
                <w:kern w:val="0"/>
                <w:sz w:val="20"/>
                <w:szCs w:val="20"/>
                <w:lang w:val="en-US" w:eastAsia="zh-CN"/>
              </w:rPr>
              <w:t>项目具体实施机构职责明确且业务分配科学合理，</w:t>
            </w:r>
            <w:r>
              <w:rPr>
                <w:rFonts w:hint="eastAsia" w:ascii="仿宋" w:hAnsi="仿宋" w:eastAsia="仿宋" w:cs="宋体"/>
                <w:kern w:val="0"/>
                <w:sz w:val="20"/>
                <w:szCs w:val="20"/>
              </w:rPr>
              <w:t>符合得</w:t>
            </w:r>
            <w:r>
              <w:rPr>
                <w:rFonts w:hint="eastAsia" w:ascii="仿宋" w:hAnsi="仿宋" w:eastAsia="仿宋" w:cs="宋体"/>
                <w:kern w:val="0"/>
                <w:sz w:val="20"/>
                <w:szCs w:val="20"/>
                <w:lang w:val="en-US" w:eastAsia="zh-CN"/>
              </w:rPr>
              <w:t>2</w:t>
            </w:r>
            <w:r>
              <w:rPr>
                <w:rFonts w:hint="eastAsia" w:ascii="仿宋" w:hAnsi="仿宋" w:eastAsia="仿宋" w:cs="宋体"/>
                <w:kern w:val="0"/>
                <w:sz w:val="20"/>
                <w:szCs w:val="20"/>
              </w:rPr>
              <w:t>分，否则不得分</w:t>
            </w:r>
            <w:r>
              <w:rPr>
                <w:rFonts w:hint="eastAsia" w:ascii="仿宋" w:hAnsi="仿宋" w:eastAsia="仿宋" w:cs="宋体"/>
                <w:kern w:val="0"/>
                <w:sz w:val="20"/>
                <w:szCs w:val="20"/>
                <w:lang w:eastAsia="zh-CN"/>
              </w:rPr>
              <w:t>（</w:t>
            </w:r>
            <w:r>
              <w:rPr>
                <w:rFonts w:hint="eastAsia" w:ascii="仿宋" w:hAnsi="仿宋" w:eastAsia="仿宋" w:cs="宋体"/>
                <w:kern w:val="0"/>
                <w:sz w:val="20"/>
                <w:szCs w:val="20"/>
                <w:lang w:val="en-US" w:eastAsia="zh-CN"/>
              </w:rPr>
              <w:t>或依据项目单位实际情况打分）</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lang w:val="en-US" w:eastAsia="zh-CN"/>
              </w:rPr>
            </w:pPr>
            <w:r>
              <w:rPr>
                <w:rFonts w:hint="eastAsia" w:ascii="仿宋" w:hAnsi="仿宋" w:eastAsia="仿宋" w:cs="宋体"/>
                <w:kern w:val="0"/>
                <w:sz w:val="22"/>
                <w:szCs w:val="22"/>
                <w:lang w:val="en-US" w:eastAsia="zh-CN"/>
              </w:rPr>
              <w:t>1.74</w:t>
            </w:r>
          </w:p>
        </w:tc>
      </w:tr>
      <w:tr>
        <w:tblPrEx>
          <w:tblCellMar>
            <w:top w:w="0" w:type="dxa"/>
            <w:left w:w="108" w:type="dxa"/>
            <w:bottom w:w="0" w:type="dxa"/>
            <w:right w:w="108" w:type="dxa"/>
          </w:tblCellMar>
        </w:tblPrEx>
        <w:trPr>
          <w:trHeight w:val="1206" w:hRule="atLeast"/>
        </w:trPr>
        <w:tc>
          <w:tcPr>
            <w:tcW w:w="11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1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rPr>
              <w:t>管理制度健全性</w:t>
            </w:r>
          </w:p>
        </w:tc>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2</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eastAsia="zh-CN"/>
              </w:rPr>
              <w:t>项目实施单位</w:t>
            </w:r>
            <w:r>
              <w:rPr>
                <w:rFonts w:hint="eastAsia" w:ascii="仿宋" w:hAnsi="仿宋" w:eastAsia="仿宋" w:cs="宋体"/>
                <w:kern w:val="0"/>
                <w:sz w:val="18"/>
                <w:szCs w:val="18"/>
              </w:rPr>
              <w:t>的</w:t>
            </w:r>
            <w:r>
              <w:rPr>
                <w:rFonts w:hint="eastAsia" w:ascii="仿宋" w:hAnsi="仿宋" w:eastAsia="仿宋" w:cs="宋体"/>
                <w:kern w:val="0"/>
                <w:sz w:val="18"/>
                <w:szCs w:val="18"/>
                <w:lang w:val="en-US" w:eastAsia="zh-CN"/>
              </w:rPr>
              <w:t>财务和</w:t>
            </w:r>
            <w:r>
              <w:rPr>
                <w:rFonts w:hint="eastAsia" w:ascii="仿宋" w:hAnsi="仿宋" w:eastAsia="仿宋" w:cs="宋体"/>
                <w:kern w:val="0"/>
                <w:sz w:val="18"/>
                <w:szCs w:val="18"/>
              </w:rPr>
              <w:t>业务管理制度是否健全，用以</w:t>
            </w:r>
            <w:r>
              <w:rPr>
                <w:rFonts w:hint="eastAsia" w:ascii="仿宋" w:hAnsi="仿宋" w:eastAsia="仿宋" w:cs="宋体"/>
                <w:kern w:val="0"/>
                <w:sz w:val="18"/>
                <w:szCs w:val="18"/>
                <w:lang w:val="en-US" w:eastAsia="zh-CN"/>
              </w:rPr>
              <w:t>反映和考核财务和</w:t>
            </w:r>
            <w:r>
              <w:rPr>
                <w:rFonts w:hint="eastAsia" w:ascii="仿宋" w:hAnsi="仿宋" w:eastAsia="仿宋" w:cs="宋体"/>
                <w:kern w:val="0"/>
                <w:sz w:val="18"/>
                <w:szCs w:val="18"/>
              </w:rPr>
              <w:t>业务管理制度对项目顺利实施的保障情况。</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0"/>
                <w:szCs w:val="20"/>
                <w:lang w:val="en-US" w:eastAsia="zh-CN" w:bidi="ar-SA"/>
              </w:rPr>
            </w:pPr>
            <w:r>
              <w:rPr>
                <w:rFonts w:hint="eastAsia" w:ascii="仿宋" w:hAnsi="仿宋" w:eastAsia="仿宋" w:cs="宋体"/>
                <w:color w:val="000000"/>
                <w:kern w:val="0"/>
                <w:sz w:val="18"/>
                <w:szCs w:val="18"/>
              </w:rPr>
              <w:t>通用标准</w:t>
            </w:r>
          </w:p>
        </w:tc>
        <w:tc>
          <w:tcPr>
            <w:tcW w:w="63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宋体"/>
                <w:kern w:val="0"/>
                <w:sz w:val="18"/>
                <w:szCs w:val="18"/>
                <w:lang w:eastAsia="zh-CN"/>
              </w:rPr>
            </w:pPr>
            <w:r>
              <w:rPr>
                <w:rFonts w:hint="eastAsia" w:ascii="仿宋" w:hAnsi="仿宋" w:eastAsia="仿宋" w:cs="宋体"/>
                <w:kern w:val="0"/>
                <w:sz w:val="18"/>
                <w:szCs w:val="18"/>
              </w:rPr>
              <w:t>1.制定了</w:t>
            </w:r>
            <w:r>
              <w:rPr>
                <w:rFonts w:hint="eastAsia" w:ascii="仿宋" w:hAnsi="仿宋" w:eastAsia="仿宋" w:cs="宋体"/>
                <w:kern w:val="0"/>
                <w:sz w:val="18"/>
                <w:szCs w:val="18"/>
                <w:lang w:eastAsia="zh-CN"/>
              </w:rPr>
              <w:t>或具有相应的</w:t>
            </w:r>
            <w:r>
              <w:rPr>
                <w:rFonts w:hint="eastAsia" w:ascii="仿宋" w:hAnsi="仿宋" w:eastAsia="仿宋" w:cs="宋体"/>
                <w:kern w:val="0"/>
                <w:sz w:val="18"/>
                <w:szCs w:val="18"/>
                <w:lang w:val="en-US" w:eastAsia="zh-CN"/>
              </w:rPr>
              <w:t>财务和</w:t>
            </w:r>
            <w:r>
              <w:rPr>
                <w:rFonts w:hint="eastAsia" w:ascii="仿宋" w:hAnsi="仿宋" w:eastAsia="仿宋" w:cs="宋体"/>
                <w:kern w:val="0"/>
                <w:sz w:val="18"/>
                <w:szCs w:val="18"/>
              </w:rPr>
              <w:t>业务管理制度，得</w:t>
            </w:r>
            <w:r>
              <w:rPr>
                <w:rFonts w:hint="eastAsia" w:ascii="仿宋" w:hAnsi="仿宋" w:eastAsia="仿宋" w:cs="宋体"/>
                <w:kern w:val="0"/>
                <w:sz w:val="18"/>
                <w:szCs w:val="18"/>
                <w:lang w:val="en-US" w:eastAsia="zh-CN"/>
              </w:rPr>
              <w:t>1</w:t>
            </w:r>
            <w:r>
              <w:rPr>
                <w:rFonts w:hint="eastAsia" w:ascii="仿宋" w:hAnsi="仿宋" w:eastAsia="仿宋" w:cs="宋体"/>
                <w:kern w:val="0"/>
                <w:sz w:val="18"/>
                <w:szCs w:val="18"/>
              </w:rPr>
              <w:t>分，否则</w:t>
            </w:r>
            <w:r>
              <w:rPr>
                <w:rFonts w:hint="eastAsia" w:ascii="仿宋" w:hAnsi="仿宋" w:eastAsia="仿宋" w:cs="宋体"/>
                <w:kern w:val="0"/>
                <w:sz w:val="18"/>
                <w:szCs w:val="18"/>
                <w:lang w:val="en-US" w:eastAsia="zh-CN"/>
              </w:rPr>
              <w:t>少一项制度减0.5分</w:t>
            </w:r>
            <w:r>
              <w:rPr>
                <w:rFonts w:hint="eastAsia" w:ascii="仿宋" w:hAnsi="仿宋" w:eastAsia="仿宋" w:cs="宋体"/>
                <w:kern w:val="0"/>
                <w:sz w:val="18"/>
                <w:szCs w:val="18"/>
              </w:rPr>
              <w:t>；</w:t>
            </w:r>
          </w:p>
          <w:p>
            <w:pPr>
              <w:widowControl/>
              <w:jc w:val="left"/>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rPr>
              <w:t>2.</w:t>
            </w:r>
            <w:r>
              <w:rPr>
                <w:rFonts w:hint="eastAsia" w:ascii="仿宋" w:hAnsi="仿宋" w:eastAsia="仿宋" w:cs="宋体"/>
                <w:kern w:val="0"/>
                <w:sz w:val="18"/>
                <w:szCs w:val="18"/>
                <w:lang w:val="en-US" w:eastAsia="zh-CN"/>
              </w:rPr>
              <w:t>财务和</w:t>
            </w:r>
            <w:r>
              <w:rPr>
                <w:rFonts w:hint="eastAsia" w:ascii="仿宋" w:hAnsi="仿宋" w:eastAsia="仿宋" w:cs="宋体"/>
                <w:kern w:val="0"/>
                <w:sz w:val="18"/>
                <w:szCs w:val="18"/>
                <w:lang w:eastAsia="zh-CN"/>
              </w:rPr>
              <w:t>业务</w:t>
            </w:r>
            <w:r>
              <w:rPr>
                <w:rFonts w:hint="eastAsia" w:ascii="仿宋" w:hAnsi="仿宋" w:eastAsia="仿宋" w:cs="宋体"/>
                <w:kern w:val="0"/>
                <w:sz w:val="18"/>
                <w:szCs w:val="18"/>
              </w:rPr>
              <w:t>管理制度合法、合规</w:t>
            </w:r>
            <w:r>
              <w:rPr>
                <w:rFonts w:hint="eastAsia" w:ascii="仿宋" w:hAnsi="仿宋" w:eastAsia="仿宋" w:cs="宋体"/>
                <w:kern w:val="0"/>
                <w:sz w:val="18"/>
                <w:szCs w:val="18"/>
                <w:lang w:eastAsia="zh-CN"/>
              </w:rPr>
              <w:t>、完整，</w:t>
            </w:r>
            <w:r>
              <w:rPr>
                <w:rFonts w:hint="eastAsia" w:ascii="仿宋" w:hAnsi="仿宋" w:eastAsia="仿宋" w:cs="宋体"/>
                <w:kern w:val="0"/>
                <w:sz w:val="18"/>
                <w:szCs w:val="18"/>
                <w:lang w:val="en-US" w:eastAsia="zh-CN"/>
              </w:rPr>
              <w:t>符合业务实际</w:t>
            </w:r>
            <w:r>
              <w:rPr>
                <w:rFonts w:hint="eastAsia" w:ascii="仿宋" w:hAnsi="仿宋" w:eastAsia="仿宋" w:cs="宋体"/>
                <w:kern w:val="0"/>
                <w:sz w:val="18"/>
                <w:szCs w:val="18"/>
              </w:rPr>
              <w:t>，得</w:t>
            </w:r>
            <w:r>
              <w:rPr>
                <w:rFonts w:hint="eastAsia" w:ascii="仿宋" w:hAnsi="仿宋" w:eastAsia="仿宋" w:cs="宋体"/>
                <w:kern w:val="0"/>
                <w:sz w:val="18"/>
                <w:szCs w:val="18"/>
                <w:lang w:val="en-US" w:eastAsia="zh-CN"/>
              </w:rPr>
              <w:t>1</w:t>
            </w:r>
            <w:r>
              <w:rPr>
                <w:rFonts w:hint="eastAsia" w:ascii="仿宋" w:hAnsi="仿宋" w:eastAsia="仿宋" w:cs="宋体"/>
                <w:kern w:val="0"/>
                <w:sz w:val="18"/>
                <w:szCs w:val="18"/>
              </w:rPr>
              <w:t>分，否则不得分；</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lang w:val="en-US" w:eastAsia="zh-CN"/>
              </w:rPr>
            </w:pPr>
            <w:r>
              <w:rPr>
                <w:rFonts w:hint="eastAsia" w:ascii="仿宋" w:hAnsi="仿宋" w:eastAsia="仿宋" w:cs="宋体"/>
                <w:kern w:val="0"/>
                <w:sz w:val="22"/>
                <w:szCs w:val="22"/>
                <w:lang w:val="en-US" w:eastAsia="zh-CN"/>
              </w:rPr>
              <w:t>2</w:t>
            </w:r>
          </w:p>
        </w:tc>
      </w:tr>
      <w:tr>
        <w:tblPrEx>
          <w:tblCellMar>
            <w:top w:w="0" w:type="dxa"/>
            <w:left w:w="108" w:type="dxa"/>
            <w:bottom w:w="0" w:type="dxa"/>
            <w:right w:w="108" w:type="dxa"/>
          </w:tblCellMar>
        </w:tblPrEx>
        <w:trPr>
          <w:trHeight w:val="1206" w:hRule="atLeast"/>
        </w:trPr>
        <w:tc>
          <w:tcPr>
            <w:tcW w:w="11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1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rPr>
              <w:t>制度执行有效性</w:t>
            </w:r>
          </w:p>
        </w:tc>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8</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rPr>
              <w:t>项目实施是否符合</w:t>
            </w:r>
            <w:r>
              <w:rPr>
                <w:rFonts w:hint="eastAsia" w:ascii="仿宋" w:hAnsi="仿宋" w:eastAsia="仿宋" w:cs="宋体"/>
                <w:kern w:val="0"/>
                <w:sz w:val="18"/>
                <w:szCs w:val="18"/>
                <w:lang w:val="en-US" w:eastAsia="zh-CN"/>
              </w:rPr>
              <w:t>相关</w:t>
            </w:r>
            <w:r>
              <w:rPr>
                <w:rFonts w:hint="eastAsia" w:ascii="仿宋" w:hAnsi="仿宋" w:eastAsia="仿宋" w:cs="宋体"/>
                <w:kern w:val="0"/>
                <w:sz w:val="18"/>
                <w:szCs w:val="18"/>
              </w:rPr>
              <w:t>管理规定，用以</w:t>
            </w:r>
            <w:r>
              <w:rPr>
                <w:rFonts w:hint="eastAsia" w:ascii="仿宋" w:hAnsi="仿宋" w:eastAsia="仿宋" w:cs="宋体"/>
                <w:kern w:val="0"/>
                <w:sz w:val="18"/>
                <w:szCs w:val="18"/>
                <w:lang w:val="en-US" w:eastAsia="zh-CN"/>
              </w:rPr>
              <w:t>反映和考核相关</w:t>
            </w:r>
            <w:r>
              <w:rPr>
                <w:rFonts w:hint="eastAsia" w:ascii="仿宋" w:hAnsi="仿宋" w:eastAsia="仿宋" w:cs="宋体"/>
                <w:kern w:val="0"/>
                <w:sz w:val="18"/>
                <w:szCs w:val="18"/>
              </w:rPr>
              <w:t>管理制度有效执行</w:t>
            </w:r>
            <w:r>
              <w:rPr>
                <w:rFonts w:hint="eastAsia" w:ascii="仿宋" w:hAnsi="仿宋" w:eastAsia="仿宋" w:cs="宋体"/>
                <w:kern w:val="0"/>
                <w:sz w:val="18"/>
                <w:szCs w:val="18"/>
                <w:lang w:val="en-US" w:eastAsia="zh-CN"/>
              </w:rPr>
              <w:t>的</w:t>
            </w:r>
            <w:r>
              <w:rPr>
                <w:rFonts w:hint="eastAsia" w:ascii="仿宋" w:hAnsi="仿宋" w:eastAsia="仿宋" w:cs="宋体"/>
                <w:kern w:val="0"/>
                <w:sz w:val="18"/>
                <w:szCs w:val="18"/>
              </w:rPr>
              <w:t>情况。</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0"/>
                <w:szCs w:val="20"/>
                <w:lang w:val="en-US" w:eastAsia="zh-CN" w:bidi="ar-SA"/>
              </w:rPr>
            </w:pPr>
            <w:r>
              <w:rPr>
                <w:rFonts w:hint="eastAsia" w:ascii="仿宋" w:hAnsi="仿宋" w:eastAsia="仿宋" w:cs="宋体"/>
                <w:color w:val="000000"/>
                <w:kern w:val="0"/>
                <w:sz w:val="18"/>
                <w:szCs w:val="18"/>
              </w:rPr>
              <w:t>通用标准</w:t>
            </w:r>
          </w:p>
        </w:tc>
        <w:tc>
          <w:tcPr>
            <w:tcW w:w="63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5"/>
              </w:numPr>
              <w:jc w:val="left"/>
              <w:rPr>
                <w:rFonts w:hint="eastAsia"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基本公共卫生服务项目工作内容已按照《2019年基本公共卫生服务项目实施方案》、《国家基本公共卫生服务规范（第三版）》和《新划入基本公共卫生服务相关工作规范》的要求落实2019年度工作任务，得2分，否则不得分；</w:t>
            </w:r>
          </w:p>
          <w:p>
            <w:pPr>
              <w:pStyle w:val="2"/>
              <w:numPr>
                <w:ilvl w:val="0"/>
                <w:numId w:val="5"/>
              </w:numPr>
              <w:rPr>
                <w:rFonts w:hint="default" w:ascii="仿宋" w:hAnsi="仿宋" w:eastAsia="仿宋" w:cs="宋体"/>
                <w:kern w:val="0"/>
                <w:sz w:val="18"/>
                <w:szCs w:val="18"/>
                <w:lang w:val="en-US" w:eastAsia="zh-CN" w:bidi="ar-SA"/>
              </w:rPr>
            </w:pPr>
            <w:r>
              <w:rPr>
                <w:rFonts w:hint="eastAsia" w:ascii="仿宋" w:hAnsi="仿宋" w:eastAsia="仿宋" w:cs="宋体"/>
                <w:kern w:val="0"/>
                <w:sz w:val="18"/>
                <w:szCs w:val="18"/>
                <w:lang w:val="en-US" w:eastAsia="zh-CN" w:bidi="ar-SA"/>
              </w:rPr>
              <w:t>专业公共卫生机构承担的专业培训、技术指导、业务督导等工作实施到位，得1分，否则不得分；</w:t>
            </w:r>
          </w:p>
          <w:p>
            <w:pPr>
              <w:pStyle w:val="2"/>
              <w:numPr>
                <w:ilvl w:val="0"/>
                <w:numId w:val="5"/>
              </w:numPr>
              <w:rPr>
                <w:rFonts w:hint="default" w:ascii="仿宋" w:hAnsi="仿宋" w:eastAsia="仿宋" w:cs="宋体"/>
                <w:kern w:val="0"/>
                <w:sz w:val="18"/>
                <w:szCs w:val="18"/>
                <w:lang w:val="en-US" w:eastAsia="zh-CN" w:bidi="ar-SA"/>
              </w:rPr>
            </w:pPr>
            <w:r>
              <w:rPr>
                <w:rFonts w:hint="eastAsia" w:ascii="仿宋" w:hAnsi="仿宋" w:eastAsia="仿宋" w:cs="宋体"/>
                <w:kern w:val="0"/>
                <w:sz w:val="18"/>
                <w:szCs w:val="18"/>
                <w:lang w:val="en-US" w:eastAsia="zh-CN" w:bidi="ar-SA"/>
              </w:rPr>
              <w:t>责任主体单位对基本公卫项目的督导和考核已按方案要求实施完成，并对考核过程中存在的问题提出整改意见，得1分，否则不得分；</w:t>
            </w:r>
          </w:p>
          <w:p>
            <w:pPr>
              <w:widowControl/>
              <w:jc w:val="left"/>
              <w:rPr>
                <w:rFonts w:hint="default"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4.对各项目指导单位、实施单位资金使用进行监管，得2分，否则不得分；</w:t>
            </w:r>
          </w:p>
          <w:p>
            <w:pPr>
              <w:widowControl/>
              <w:jc w:val="left"/>
              <w:rPr>
                <w:rFonts w:hint="default"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5.项目督导和考核中发现的问题，已及时整改，得1分，否则不得分；</w:t>
            </w:r>
          </w:p>
          <w:p>
            <w:pPr>
              <w:widowControl/>
              <w:jc w:val="left"/>
              <w:rPr>
                <w:rFonts w:hint="default"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6.信息化建设稳步推进，不断优化电子健</w:t>
            </w:r>
            <w:r>
              <w:rPr>
                <w:rFonts w:hint="eastAsia" w:ascii="仿宋" w:hAnsi="仿宋" w:eastAsia="仿宋" w:cs="仿宋"/>
                <w:kern w:val="2"/>
                <w:sz w:val="18"/>
                <w:szCs w:val="18"/>
                <w:lang w:val="en-US" w:eastAsia="zh-CN" w:bidi="ar-SA"/>
              </w:rPr>
              <w:t>康档案使用渠道，提高健康档案使用率，得1分，否则不得分。</w:t>
            </w:r>
          </w:p>
          <w:p>
            <w:pPr>
              <w:widowControl/>
              <w:jc w:val="left"/>
              <w:rPr>
                <w:rFonts w:hint="eastAsia" w:ascii="仿宋" w:hAnsi="仿宋" w:eastAsia="仿宋" w:cs="宋体"/>
                <w:kern w:val="0"/>
                <w:sz w:val="20"/>
                <w:szCs w:val="20"/>
                <w:lang w:val="en-US" w:eastAsia="zh-CN" w:bidi="ar-SA"/>
              </w:rPr>
            </w:pP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lang w:val="en-US" w:eastAsia="zh-CN"/>
              </w:rPr>
            </w:pPr>
            <w:r>
              <w:rPr>
                <w:rFonts w:hint="eastAsia" w:ascii="仿宋" w:hAnsi="仿宋" w:eastAsia="仿宋" w:cs="宋体"/>
                <w:kern w:val="0"/>
                <w:sz w:val="22"/>
                <w:szCs w:val="22"/>
                <w:lang w:val="en-US" w:eastAsia="zh-CN"/>
              </w:rPr>
              <w:t>5.09</w:t>
            </w:r>
          </w:p>
        </w:tc>
      </w:tr>
      <w:tr>
        <w:tblPrEx>
          <w:tblCellMar>
            <w:top w:w="0" w:type="dxa"/>
            <w:left w:w="108" w:type="dxa"/>
            <w:bottom w:w="0" w:type="dxa"/>
            <w:right w:w="108" w:type="dxa"/>
          </w:tblCellMar>
        </w:tblPrEx>
        <w:trPr>
          <w:trHeight w:val="1206" w:hRule="atLeast"/>
        </w:trPr>
        <w:tc>
          <w:tcPr>
            <w:tcW w:w="11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1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档案管理</w:t>
            </w:r>
          </w:p>
        </w:tc>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2</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项目实施单位档案管理是否规范，</w:t>
            </w:r>
            <w:r>
              <w:rPr>
                <w:rFonts w:hint="eastAsia" w:ascii="仿宋" w:hAnsi="仿宋" w:eastAsia="仿宋" w:cs="宋体"/>
                <w:kern w:val="0"/>
                <w:sz w:val="18"/>
                <w:szCs w:val="18"/>
              </w:rPr>
              <w:t>反映和考核</w:t>
            </w:r>
            <w:r>
              <w:rPr>
                <w:rFonts w:hint="eastAsia" w:ascii="仿宋" w:hAnsi="仿宋" w:eastAsia="仿宋" w:cs="宋体"/>
                <w:kern w:val="0"/>
                <w:sz w:val="18"/>
                <w:szCs w:val="18"/>
                <w:lang w:val="en-US" w:eastAsia="zh-CN"/>
              </w:rPr>
              <w:t>项目档案管理的有效性。</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0"/>
                <w:szCs w:val="20"/>
                <w:lang w:val="en-US" w:eastAsia="zh-CN" w:bidi="ar-SA"/>
              </w:rPr>
            </w:pPr>
            <w:r>
              <w:rPr>
                <w:rFonts w:hint="eastAsia" w:ascii="仿宋" w:hAnsi="仿宋" w:eastAsia="仿宋" w:cs="宋体"/>
                <w:color w:val="000000"/>
                <w:kern w:val="0"/>
                <w:sz w:val="18"/>
                <w:szCs w:val="18"/>
                <w:lang w:eastAsia="zh-CN"/>
              </w:rPr>
              <w:t>通用标准</w:t>
            </w:r>
          </w:p>
        </w:tc>
        <w:tc>
          <w:tcPr>
            <w:tcW w:w="63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仿宋" w:hAnsi="仿宋" w:eastAsia="仿宋" w:cs="仿宋"/>
                <w:kern w:val="2"/>
                <w:sz w:val="20"/>
                <w:szCs w:val="20"/>
                <w:lang w:val="en-US" w:eastAsia="zh-CN" w:bidi="ar-SA"/>
              </w:rPr>
            </w:pPr>
            <w:r>
              <w:rPr>
                <w:rFonts w:hint="eastAsia" w:ascii="仿宋" w:hAnsi="仿宋" w:eastAsia="仿宋" w:cs="宋体"/>
                <w:kern w:val="0"/>
                <w:sz w:val="18"/>
                <w:szCs w:val="18"/>
                <w:lang w:val="en-US" w:eastAsia="zh-CN"/>
              </w:rPr>
              <w:t xml:space="preserve">1.各单位纸质及电子档案均设有专（兼）职人员管理，资料归档及时，得1分，否则不得分； 2.项目档案资料分类管理、资料齐全、内容完整，得1分，否则不得分；        </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lang w:val="en-US" w:eastAsia="zh-CN"/>
              </w:rPr>
            </w:pPr>
            <w:r>
              <w:rPr>
                <w:rFonts w:hint="eastAsia" w:ascii="仿宋" w:hAnsi="仿宋" w:eastAsia="仿宋" w:cs="宋体"/>
                <w:kern w:val="0"/>
                <w:sz w:val="22"/>
                <w:szCs w:val="22"/>
                <w:lang w:val="en-US" w:eastAsia="zh-CN"/>
              </w:rPr>
              <w:t>1.67</w:t>
            </w:r>
          </w:p>
        </w:tc>
      </w:tr>
    </w:tbl>
    <w:p>
      <w:pPr>
        <w:spacing w:line="2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w:t>
      </w:r>
    </w:p>
    <w:p>
      <w:pPr>
        <w:pStyle w:val="2"/>
        <w:rPr>
          <w:rFonts w:hint="eastAsia" w:ascii="仿宋" w:hAnsi="仿宋" w:eastAsia="仿宋" w:cs="仿宋"/>
          <w:sz w:val="28"/>
          <w:szCs w:val="28"/>
          <w:lang w:val="en-US" w:eastAsia="zh-CN"/>
        </w:rPr>
      </w:pPr>
    </w:p>
    <w:tbl>
      <w:tblPr>
        <w:tblStyle w:val="14"/>
        <w:tblW w:w="14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1150"/>
        <w:gridCol w:w="1321"/>
        <w:gridCol w:w="659"/>
        <w:gridCol w:w="4030"/>
        <w:gridCol w:w="750"/>
        <w:gridCol w:w="5139"/>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blHeader/>
          <w:jc w:val="center"/>
        </w:trPr>
        <w:tc>
          <w:tcPr>
            <w:tcW w:w="14884" w:type="dxa"/>
            <w:gridSpan w:val="8"/>
            <w:tcBorders>
              <w:top w:val="nil"/>
              <w:left w:val="nil"/>
              <w:bottom w:val="nil"/>
              <w:right w:val="nil"/>
            </w:tcBorders>
            <w:shd w:val="clear" w:color="auto" w:fill="auto"/>
            <w:noWrap/>
            <w:vAlign w:val="center"/>
          </w:tcPr>
          <w:p>
            <w:pPr>
              <w:widowControl/>
              <w:jc w:val="left"/>
              <w:rPr>
                <w:rFonts w:hint="eastAsia" w:ascii="宋体" w:hAnsi="宋体" w:eastAsia="宋体" w:cs="宋体"/>
                <w:b/>
                <w:bCs/>
                <w:kern w:val="0"/>
                <w:sz w:val="21"/>
                <w:szCs w:val="21"/>
                <w:lang w:val="en-US" w:eastAsia="zh-CN"/>
              </w:rPr>
            </w:pPr>
          </w:p>
          <w:p>
            <w:pPr>
              <w:widowControl/>
              <w:jc w:val="left"/>
              <w:rPr>
                <w:rFonts w:hint="default" w:ascii="宋体" w:hAnsi="宋体" w:eastAsia="宋体" w:cs="宋体"/>
                <w:b/>
                <w:bCs/>
                <w:kern w:val="0"/>
                <w:sz w:val="32"/>
                <w:szCs w:val="32"/>
                <w:lang w:val="en-US" w:eastAsia="zh-CN"/>
              </w:rPr>
            </w:pPr>
            <w:r>
              <w:rPr>
                <w:rFonts w:hint="eastAsia" w:ascii="宋体" w:hAnsi="宋体" w:eastAsia="宋体" w:cs="宋体"/>
                <w:b/>
                <w:bCs/>
                <w:kern w:val="0"/>
                <w:sz w:val="21"/>
                <w:szCs w:val="21"/>
                <w:lang w:val="en-US" w:eastAsia="zh-CN"/>
              </w:rPr>
              <w:t>附件1-1：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4884" w:type="dxa"/>
            <w:gridSpan w:val="8"/>
            <w:tcBorders>
              <w:top w:val="nil"/>
              <w:left w:val="nil"/>
              <w:bottom w:val="single" w:color="auto" w:sz="4" w:space="0"/>
              <w:right w:val="nil"/>
            </w:tcBorders>
            <w:shd w:val="clear" w:color="auto" w:fill="auto"/>
            <w:noWrap/>
            <w:vAlign w:val="center"/>
          </w:tcPr>
          <w:p>
            <w:pPr>
              <w:widowControl/>
              <w:tabs>
                <w:tab w:val="left" w:pos="4710"/>
              </w:tabs>
              <w:jc w:val="left"/>
              <w:rPr>
                <w:rFonts w:ascii="宋体" w:hAnsi="宋体" w:eastAsia="宋体" w:cs="宋体"/>
                <w:b/>
                <w:bCs/>
                <w:kern w:val="0"/>
                <w:sz w:val="32"/>
                <w:szCs w:val="32"/>
              </w:rPr>
            </w:pPr>
            <w:r>
              <w:rPr>
                <w:rFonts w:hint="eastAsia" w:ascii="宋体" w:hAnsi="宋体" w:eastAsia="宋体" w:cs="宋体"/>
                <w:b/>
                <w:bCs/>
                <w:kern w:val="0"/>
                <w:sz w:val="32"/>
                <w:szCs w:val="32"/>
                <w:lang w:eastAsia="zh-CN"/>
              </w:rPr>
              <w:tab/>
            </w:r>
            <w:r>
              <w:rPr>
                <w:rFonts w:hint="eastAsia" w:ascii="宋体" w:hAnsi="宋体" w:eastAsia="宋体" w:cs="宋体"/>
                <w:b/>
                <w:bCs/>
                <w:kern w:val="0"/>
                <w:sz w:val="32"/>
                <w:szCs w:val="32"/>
                <w:lang w:eastAsia="zh-CN"/>
              </w:rPr>
              <w:t>临猗县基本公共卫生项目</w:t>
            </w:r>
            <w:r>
              <w:rPr>
                <w:rFonts w:hint="eastAsia" w:ascii="宋体" w:hAnsi="宋体" w:eastAsia="宋体" w:cs="宋体"/>
                <w:b/>
                <w:bCs/>
                <w:kern w:val="0"/>
                <w:sz w:val="32"/>
                <w:szCs w:val="32"/>
              </w:rPr>
              <w:t>绩效评价指标评分表（产出）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blHeader/>
          <w:jc w:val="center"/>
        </w:trPr>
        <w:tc>
          <w:tcPr>
            <w:tcW w:w="1122" w:type="dxa"/>
            <w:tcBorders>
              <w:top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一级指标</w:t>
            </w:r>
          </w:p>
        </w:tc>
        <w:tc>
          <w:tcPr>
            <w:tcW w:w="1150" w:type="dxa"/>
            <w:tcBorders>
              <w:top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二级指标</w:t>
            </w:r>
          </w:p>
        </w:tc>
        <w:tc>
          <w:tcPr>
            <w:tcW w:w="1321" w:type="dxa"/>
            <w:tcBorders>
              <w:top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三级指标</w:t>
            </w:r>
          </w:p>
        </w:tc>
        <w:tc>
          <w:tcPr>
            <w:tcW w:w="659" w:type="dxa"/>
            <w:tcBorders>
              <w:top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权重</w:t>
            </w:r>
          </w:p>
        </w:tc>
        <w:tc>
          <w:tcPr>
            <w:tcW w:w="4030" w:type="dxa"/>
            <w:tcBorders>
              <w:top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指标解释</w:t>
            </w:r>
          </w:p>
        </w:tc>
        <w:tc>
          <w:tcPr>
            <w:tcW w:w="750" w:type="dxa"/>
            <w:tcBorders>
              <w:top w:val="single" w:color="auto" w:sz="4" w:space="0"/>
            </w:tcBorders>
            <w:shd w:val="clear" w:color="auto" w:fill="auto"/>
            <w:vAlign w:val="center"/>
          </w:tcPr>
          <w:p>
            <w:pPr>
              <w:widowControl/>
              <w:jc w:val="center"/>
              <w:rPr>
                <w:rFonts w:ascii="仿宋" w:hAnsi="仿宋" w:eastAsia="仿宋" w:cs="宋体"/>
                <w:b/>
                <w:bCs/>
                <w:color w:val="000000"/>
                <w:kern w:val="0"/>
                <w:sz w:val="22"/>
                <w:szCs w:val="22"/>
              </w:rPr>
            </w:pPr>
            <w:r>
              <w:rPr>
                <w:rFonts w:hint="eastAsia" w:ascii="仿宋" w:hAnsi="仿宋" w:eastAsia="仿宋" w:cs="宋体"/>
                <w:b/>
                <w:bCs/>
                <w:color w:val="000000"/>
                <w:kern w:val="0"/>
                <w:sz w:val="22"/>
                <w:szCs w:val="22"/>
              </w:rPr>
              <w:t>评分依据</w:t>
            </w:r>
          </w:p>
        </w:tc>
        <w:tc>
          <w:tcPr>
            <w:tcW w:w="5139" w:type="dxa"/>
            <w:tcBorders>
              <w:top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评分标准</w:t>
            </w:r>
          </w:p>
        </w:tc>
        <w:tc>
          <w:tcPr>
            <w:tcW w:w="713" w:type="dxa"/>
            <w:tcBorders>
              <w:top w:val="single" w:color="auto" w:sz="4" w:space="0"/>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1122" w:type="dxa"/>
            <w:vMerge w:val="restart"/>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rPr>
              <w:t>产出</w:t>
            </w:r>
          </w:p>
          <w:p>
            <w:pPr>
              <w:widowControl/>
              <w:jc w:val="center"/>
              <w:rPr>
                <w:rFonts w:ascii="仿宋" w:hAnsi="仿宋" w:eastAsia="仿宋" w:cs="宋体"/>
                <w:kern w:val="0"/>
                <w:sz w:val="20"/>
                <w:szCs w:val="20"/>
              </w:rPr>
            </w:pPr>
            <w:r>
              <w:rPr>
                <w:rFonts w:hint="eastAsia" w:ascii="仿宋" w:hAnsi="仿宋" w:eastAsia="仿宋" w:cs="宋体"/>
                <w:kern w:val="0"/>
                <w:sz w:val="20"/>
                <w:szCs w:val="20"/>
              </w:rPr>
              <w:t>（</w:t>
            </w:r>
            <w:r>
              <w:rPr>
                <w:rFonts w:hint="eastAsia" w:ascii="仿宋" w:hAnsi="仿宋" w:eastAsia="仿宋" w:cs="宋体"/>
                <w:kern w:val="0"/>
                <w:sz w:val="20"/>
                <w:szCs w:val="20"/>
                <w:lang w:val="en-US" w:eastAsia="zh-CN"/>
              </w:rPr>
              <w:t>40</w:t>
            </w:r>
            <w:r>
              <w:rPr>
                <w:rFonts w:hint="eastAsia" w:ascii="仿宋" w:hAnsi="仿宋" w:eastAsia="仿宋" w:cs="宋体"/>
                <w:kern w:val="0"/>
                <w:sz w:val="20"/>
                <w:szCs w:val="20"/>
              </w:rPr>
              <w:t>分）</w:t>
            </w:r>
          </w:p>
        </w:tc>
        <w:tc>
          <w:tcPr>
            <w:tcW w:w="1150" w:type="dxa"/>
            <w:vMerge w:val="restart"/>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18"/>
                <w:szCs w:val="18"/>
                <w:lang w:eastAsia="zh-CN"/>
              </w:rPr>
              <w:t>居民健康档案管理</w:t>
            </w:r>
            <w:r>
              <w:rPr>
                <w:rFonts w:hint="eastAsia" w:ascii="仿宋" w:hAnsi="仿宋" w:eastAsia="仿宋" w:cs="宋体"/>
                <w:kern w:val="0"/>
                <w:sz w:val="18"/>
                <w:szCs w:val="18"/>
                <w:lang w:val="en-US" w:eastAsia="zh-CN"/>
              </w:rPr>
              <w:t xml:space="preserve">   </w:t>
            </w:r>
            <w:r>
              <w:rPr>
                <w:rFonts w:hint="eastAsia" w:ascii="仿宋" w:hAnsi="仿宋" w:eastAsia="仿宋" w:cs="宋体"/>
                <w:kern w:val="0"/>
                <w:sz w:val="18"/>
                <w:szCs w:val="18"/>
                <w:lang w:eastAsia="zh-CN"/>
              </w:rPr>
              <w:t>（</w:t>
            </w:r>
            <w:r>
              <w:rPr>
                <w:rFonts w:hint="eastAsia" w:ascii="仿宋" w:hAnsi="仿宋" w:eastAsia="仿宋" w:cs="宋体"/>
                <w:kern w:val="0"/>
                <w:sz w:val="18"/>
                <w:szCs w:val="18"/>
                <w:lang w:val="en-US" w:eastAsia="zh-CN"/>
              </w:rPr>
              <w:t>2分）</w:t>
            </w: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电子健康档案建档率</w:t>
            </w:r>
          </w:p>
        </w:tc>
        <w:tc>
          <w:tcPr>
            <w:tcW w:w="659"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辖区常住居民中，已经建立了电子健康档案的居民比例，反映和考核电子健康档案建设工作的进展。</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5139" w:type="dxa"/>
            <w:tcBorders>
              <w:tl2br w:val="nil"/>
              <w:tr2bl w:val="nil"/>
            </w:tcBorders>
            <w:shd w:val="clear" w:color="auto" w:fill="auto"/>
            <w:vAlign w:val="center"/>
          </w:tcPr>
          <w:p>
            <w:pPr>
              <w:widowControl/>
              <w:numPr>
                <w:ilvl w:val="0"/>
                <w:numId w:val="0"/>
              </w:numPr>
              <w:jc w:val="left"/>
              <w:rPr>
                <w:rFonts w:hint="default" w:ascii="仿宋" w:hAnsi="仿宋" w:eastAsia="仿宋" w:cs="宋体"/>
                <w:kern w:val="0"/>
                <w:sz w:val="20"/>
                <w:szCs w:val="20"/>
                <w:highlight w:val="none"/>
                <w:lang w:val="en-US" w:eastAsia="zh-CN"/>
              </w:rPr>
            </w:pPr>
            <w:r>
              <w:rPr>
                <w:rFonts w:hint="eastAsia" w:ascii="仿宋" w:hAnsi="仿宋" w:eastAsia="仿宋" w:cs="宋体"/>
                <w:kern w:val="0"/>
                <w:sz w:val="20"/>
                <w:szCs w:val="20"/>
                <w:highlight w:val="none"/>
                <w:lang w:val="en-US" w:eastAsia="zh-CN"/>
              </w:rPr>
              <w:t>1.电子档案建档率</w:t>
            </w:r>
            <w:r>
              <w:rPr>
                <w:rFonts w:hint="default" w:ascii="仿宋" w:hAnsi="仿宋" w:eastAsia="仿宋" w:cs="宋体"/>
                <w:kern w:val="0"/>
                <w:sz w:val="20"/>
                <w:szCs w:val="20"/>
                <w:highlight w:val="none"/>
                <w:lang w:val="en-US" w:eastAsia="zh-CN"/>
              </w:rPr>
              <w:t>≥</w:t>
            </w:r>
            <w:r>
              <w:rPr>
                <w:rFonts w:hint="eastAsia" w:ascii="仿宋" w:hAnsi="仿宋" w:eastAsia="仿宋" w:cs="宋体"/>
                <w:kern w:val="0"/>
                <w:sz w:val="20"/>
                <w:szCs w:val="20"/>
                <w:highlight w:val="none"/>
                <w:lang w:val="en-US" w:eastAsia="zh-CN"/>
              </w:rPr>
              <w:t>90%，且居民健康档案填写完整、上报规范，得0.5分，否则不得分；                        2.本年新建健康档案达到总人口数的2%，得0.5分，否则不得分。</w:t>
            </w:r>
          </w:p>
          <w:p>
            <w:pPr>
              <w:widowControl/>
              <w:numPr>
                <w:ilvl w:val="0"/>
                <w:numId w:val="0"/>
              </w:numPr>
              <w:ind w:left="0" w:leftChars="0" w:firstLine="0" w:firstLineChars="0"/>
              <w:jc w:val="left"/>
              <w:rPr>
                <w:rFonts w:hint="default" w:ascii="仿宋" w:hAnsi="仿宋" w:eastAsia="仿宋" w:cs="宋体"/>
                <w:kern w:val="0"/>
                <w:sz w:val="20"/>
                <w:szCs w:val="20"/>
                <w:highlight w:val="none"/>
                <w:lang w:val="en-US" w:eastAsia="zh-CN"/>
              </w:rPr>
            </w:pP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rPr>
              <w:t>　</w:t>
            </w:r>
            <w:r>
              <w:rPr>
                <w:rFonts w:hint="eastAsia" w:ascii="仿宋" w:hAnsi="仿宋" w:eastAsia="仿宋" w:cs="宋体"/>
                <w:kern w:val="0"/>
                <w:sz w:val="20"/>
                <w:szCs w:val="20"/>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122" w:type="dxa"/>
            <w:vMerge w:val="continue"/>
            <w:tcBorders>
              <w:tl2br w:val="nil"/>
              <w:tr2bl w:val="nil"/>
            </w:tcBorders>
            <w:vAlign w:val="center"/>
          </w:tcPr>
          <w:p>
            <w:pPr>
              <w:widowControl/>
              <w:jc w:val="left"/>
              <w:rPr>
                <w:rFonts w:ascii="仿宋" w:hAnsi="仿宋" w:eastAsia="仿宋" w:cs="宋体"/>
                <w:kern w:val="0"/>
                <w:sz w:val="20"/>
                <w:szCs w:val="20"/>
              </w:rPr>
            </w:pPr>
          </w:p>
        </w:tc>
        <w:tc>
          <w:tcPr>
            <w:tcW w:w="1150" w:type="dxa"/>
            <w:vMerge w:val="continue"/>
            <w:tcBorders>
              <w:tl2br w:val="nil"/>
              <w:tr2bl w:val="nil"/>
            </w:tcBorders>
            <w:vAlign w:val="center"/>
          </w:tcPr>
          <w:p>
            <w:pPr>
              <w:widowControl/>
              <w:jc w:val="left"/>
              <w:rPr>
                <w:rFonts w:ascii="仿宋" w:hAnsi="仿宋" w:eastAsia="仿宋" w:cs="宋体"/>
                <w:kern w:val="0"/>
                <w:sz w:val="20"/>
                <w:szCs w:val="20"/>
              </w:rPr>
            </w:pP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highlight w:val="none"/>
                <w:lang w:val="en-US" w:eastAsia="zh-CN"/>
              </w:rPr>
              <w:t>健康档案动态使用率</w:t>
            </w:r>
          </w:p>
        </w:tc>
        <w:tc>
          <w:tcPr>
            <w:tcW w:w="659"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年度内已建立的居民健康档案中，有动态记录的档案份数，反映和考核健康档案的使用。</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5139" w:type="dxa"/>
            <w:tcBorders>
              <w:tl2br w:val="nil"/>
              <w:tr2bl w:val="nil"/>
            </w:tcBorders>
            <w:shd w:val="clear" w:color="auto" w:fill="auto"/>
            <w:vAlign w:val="center"/>
          </w:tcPr>
          <w:p>
            <w:pPr>
              <w:pStyle w:val="2"/>
              <w:numPr>
                <w:ilvl w:val="0"/>
                <w:numId w:val="0"/>
              </w:numPr>
              <w:ind w:left="0" w:leftChars="0" w:firstLine="0" w:firstLineChars="0"/>
              <w:jc w:val="left"/>
              <w:rPr>
                <w:rFonts w:hint="eastAsia" w:ascii="仿宋" w:hAnsi="仿宋" w:eastAsia="仿宋" w:cs="宋体"/>
                <w:kern w:val="0"/>
                <w:sz w:val="20"/>
                <w:szCs w:val="20"/>
                <w:highlight w:val="none"/>
                <w:lang w:val="en-US" w:eastAsia="zh-CN"/>
              </w:rPr>
            </w:pPr>
            <w:r>
              <w:rPr>
                <w:rFonts w:hint="eastAsia" w:ascii="仿宋" w:hAnsi="仿宋" w:eastAsia="仿宋" w:cs="宋体"/>
                <w:kern w:val="0"/>
                <w:sz w:val="20"/>
                <w:szCs w:val="20"/>
                <w:highlight w:val="none"/>
                <w:lang w:val="en-US" w:eastAsia="zh-CN"/>
              </w:rPr>
              <w:t>1.健康档案动态使用率与上年相比有所提高，得0.2分，否则不得分；                                             2.健康档案动态使用率</w:t>
            </w:r>
            <w:r>
              <w:rPr>
                <w:rFonts w:hint="default" w:ascii="仿宋" w:hAnsi="仿宋" w:eastAsia="仿宋" w:cs="宋体"/>
                <w:kern w:val="0"/>
                <w:sz w:val="20"/>
                <w:szCs w:val="20"/>
                <w:highlight w:val="none"/>
                <w:lang w:val="en-US" w:eastAsia="zh-CN"/>
              </w:rPr>
              <w:t>≥</w:t>
            </w:r>
            <w:r>
              <w:rPr>
                <w:rFonts w:hint="eastAsia" w:ascii="仿宋" w:hAnsi="仿宋" w:eastAsia="仿宋" w:cs="宋体"/>
                <w:kern w:val="0"/>
                <w:sz w:val="20"/>
                <w:szCs w:val="20"/>
                <w:highlight w:val="none"/>
                <w:lang w:val="en-US" w:eastAsia="zh-CN"/>
              </w:rPr>
              <w:t>70%，且动态信息更新完整、及时得0.8分，否则不得分。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rPr>
              <w:t>　</w:t>
            </w:r>
            <w:r>
              <w:rPr>
                <w:rFonts w:hint="eastAsia" w:ascii="仿宋" w:hAnsi="仿宋" w:eastAsia="仿宋" w:cs="宋体"/>
                <w:kern w:val="0"/>
                <w:sz w:val="20"/>
                <w:szCs w:val="20"/>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1122" w:type="dxa"/>
            <w:vMerge w:val="continue"/>
            <w:tcBorders>
              <w:tl2br w:val="nil"/>
              <w:tr2bl w:val="nil"/>
            </w:tcBorders>
            <w:vAlign w:val="center"/>
          </w:tcPr>
          <w:p>
            <w:pPr>
              <w:widowControl/>
              <w:jc w:val="left"/>
              <w:rPr>
                <w:rFonts w:ascii="仿宋" w:hAnsi="仿宋" w:eastAsia="仿宋" w:cs="宋体"/>
                <w:kern w:val="0"/>
                <w:sz w:val="20"/>
                <w:szCs w:val="20"/>
              </w:rPr>
            </w:pPr>
          </w:p>
        </w:tc>
        <w:tc>
          <w:tcPr>
            <w:tcW w:w="1150" w:type="dxa"/>
            <w:vMerge w:val="restart"/>
            <w:tcBorders>
              <w:tl2br w:val="nil"/>
              <w:tr2bl w:val="nil"/>
            </w:tcBorders>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18"/>
                <w:szCs w:val="18"/>
                <w:lang w:eastAsia="zh-CN"/>
              </w:rPr>
              <w:t>健康教育（</w:t>
            </w:r>
            <w:r>
              <w:rPr>
                <w:rFonts w:hint="eastAsia" w:ascii="仿宋" w:hAnsi="仿宋" w:eastAsia="仿宋" w:cs="宋体"/>
                <w:kern w:val="0"/>
                <w:sz w:val="18"/>
                <w:szCs w:val="18"/>
                <w:lang w:val="en-US" w:eastAsia="zh-CN"/>
              </w:rPr>
              <w:t>4分）</w:t>
            </w: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val="en-US" w:eastAsia="zh-CN"/>
              </w:rPr>
              <w:t>公众</w:t>
            </w:r>
            <w:r>
              <w:rPr>
                <w:rFonts w:hint="eastAsia" w:ascii="仿宋" w:hAnsi="仿宋" w:eastAsia="仿宋" w:cs="宋体"/>
                <w:kern w:val="0"/>
                <w:sz w:val="20"/>
                <w:szCs w:val="20"/>
                <w:lang w:eastAsia="zh-CN"/>
              </w:rPr>
              <w:t>健康咨询活动</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按照国家基本公共卫生服务规范要求，开展公众健康咨询的次数和内容，反映和考核健康教育咨询开展的数量和质量。</w:t>
            </w:r>
          </w:p>
        </w:tc>
        <w:tc>
          <w:tcPr>
            <w:tcW w:w="750" w:type="dxa"/>
            <w:tcBorders>
              <w:tl2br w:val="nil"/>
              <w:tr2bl w:val="nil"/>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lang w:eastAsia="zh-CN"/>
              </w:rPr>
              <w:t>计划标准</w:t>
            </w:r>
          </w:p>
        </w:tc>
        <w:tc>
          <w:tcPr>
            <w:tcW w:w="5139" w:type="dxa"/>
            <w:tcBorders>
              <w:tl2br w:val="nil"/>
              <w:tr2bl w:val="nil"/>
            </w:tcBorders>
            <w:shd w:val="clear" w:color="auto" w:fill="auto"/>
            <w:vAlign w:val="center"/>
          </w:tcPr>
          <w:p>
            <w:pPr>
              <w:widowControl/>
              <w:numPr>
                <w:ilvl w:val="0"/>
                <w:numId w:val="0"/>
              </w:numPr>
              <w:jc w:val="left"/>
              <w:rPr>
                <w:rFonts w:hint="eastAsia" w:ascii="仿宋" w:hAnsi="仿宋" w:eastAsia="仿宋" w:cs="宋体"/>
                <w:kern w:val="0"/>
                <w:sz w:val="20"/>
                <w:szCs w:val="20"/>
                <w:lang w:val="en-US" w:eastAsia="zh-CN" w:bidi="ar-SA"/>
              </w:rPr>
            </w:pPr>
            <w:r>
              <w:rPr>
                <w:rFonts w:hint="eastAsia" w:ascii="仿宋" w:hAnsi="仿宋" w:eastAsia="仿宋" w:cs="宋体"/>
                <w:kern w:val="0"/>
                <w:sz w:val="20"/>
                <w:szCs w:val="20"/>
                <w:lang w:val="en-US" w:eastAsia="zh-CN" w:bidi="ar-SA"/>
              </w:rPr>
              <w:t>1.每个乡镇卫生院</w:t>
            </w:r>
            <w:r>
              <w:rPr>
                <w:rFonts w:hint="default" w:ascii="仿宋" w:hAnsi="仿宋" w:eastAsia="仿宋" w:cs="宋体"/>
                <w:kern w:val="0"/>
                <w:sz w:val="20"/>
                <w:szCs w:val="20"/>
                <w:lang w:val="en-US" w:eastAsia="zh-CN" w:bidi="ar-SA"/>
              </w:rPr>
              <w:t>开展公众健康咨询活动</w:t>
            </w:r>
            <w:r>
              <w:rPr>
                <w:rFonts w:hint="eastAsia" w:ascii="仿宋" w:hAnsi="仿宋" w:eastAsia="仿宋" w:cs="宋体"/>
                <w:kern w:val="0"/>
                <w:sz w:val="20"/>
                <w:szCs w:val="20"/>
                <w:lang w:val="en-US" w:eastAsia="zh-CN" w:bidi="ar-SA"/>
              </w:rPr>
              <w:t>每年不少于9次，</w:t>
            </w:r>
            <w:r>
              <w:rPr>
                <w:rFonts w:hint="eastAsia" w:ascii="仿宋" w:hAnsi="仿宋" w:eastAsia="仿宋" w:cs="宋体"/>
                <w:kern w:val="0"/>
                <w:sz w:val="20"/>
                <w:szCs w:val="20"/>
                <w:highlight w:val="none"/>
                <w:lang w:val="en-US" w:eastAsia="zh-CN"/>
              </w:rPr>
              <w:t>得0.5分，否则不得分。</w:t>
            </w:r>
          </w:p>
          <w:p>
            <w:pPr>
              <w:pStyle w:val="2"/>
              <w:rPr>
                <w:rFonts w:hint="default"/>
                <w:sz w:val="20"/>
                <w:szCs w:val="20"/>
                <w:lang w:val="en-US" w:eastAsia="zh-CN"/>
              </w:rPr>
            </w:pPr>
            <w:r>
              <w:rPr>
                <w:rFonts w:hint="eastAsia" w:ascii="仿宋" w:hAnsi="仿宋" w:eastAsia="仿宋" w:cs="宋体"/>
                <w:kern w:val="0"/>
                <w:sz w:val="20"/>
                <w:szCs w:val="20"/>
                <w:lang w:val="en-US" w:eastAsia="zh-CN" w:bidi="ar-SA"/>
              </w:rPr>
              <w:t>2.健康咨询活动的内容符合服务规范要求且有活动记录和资料、现场照片，得0.5分，否则不得分。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rPr>
              <w:t>　</w:t>
            </w:r>
            <w:r>
              <w:rPr>
                <w:rFonts w:hint="eastAsia" w:ascii="仿宋" w:hAnsi="仿宋" w:eastAsia="仿宋" w:cs="宋体"/>
                <w:kern w:val="0"/>
                <w:sz w:val="16"/>
                <w:szCs w:val="16"/>
                <w:lang w:val="en-US" w:eastAsia="zh-CN"/>
              </w:rPr>
              <w:t>0.968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1122" w:type="dxa"/>
            <w:vMerge w:val="continue"/>
            <w:tcBorders>
              <w:tl2br w:val="nil"/>
              <w:tr2bl w:val="nil"/>
            </w:tcBorders>
            <w:vAlign w:val="center"/>
          </w:tcPr>
          <w:p>
            <w:pPr>
              <w:widowControl/>
              <w:jc w:val="left"/>
              <w:rPr>
                <w:rFonts w:ascii="仿宋" w:hAnsi="仿宋" w:eastAsia="仿宋" w:cs="宋体"/>
                <w:kern w:val="0"/>
                <w:sz w:val="20"/>
                <w:szCs w:val="20"/>
              </w:rPr>
            </w:pPr>
          </w:p>
        </w:tc>
        <w:tc>
          <w:tcPr>
            <w:tcW w:w="1150" w:type="dxa"/>
            <w:vMerge w:val="continue"/>
            <w:tcBorders>
              <w:tl2br w:val="nil"/>
              <w:tr2bl w:val="nil"/>
            </w:tcBorders>
            <w:vAlign w:val="center"/>
          </w:tcPr>
          <w:p>
            <w:pPr>
              <w:widowControl/>
              <w:jc w:val="left"/>
              <w:rPr>
                <w:rFonts w:ascii="仿宋" w:hAnsi="仿宋" w:eastAsia="仿宋" w:cs="宋体"/>
                <w:kern w:val="0"/>
                <w:sz w:val="20"/>
                <w:szCs w:val="20"/>
              </w:rPr>
            </w:pP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健康知识讲座</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rPr>
            </w:pPr>
            <w:r>
              <w:rPr>
                <w:rFonts w:hint="eastAsia" w:ascii="仿宋" w:hAnsi="仿宋" w:eastAsia="仿宋" w:cs="宋体"/>
                <w:kern w:val="0"/>
                <w:sz w:val="20"/>
                <w:szCs w:val="20"/>
                <w:lang w:eastAsia="zh-CN"/>
              </w:rPr>
              <w:t>按照国家基本公共卫生服务规范要求，开展健康知识讲座的次数和内容，反映和考核健康教育咨询开展的数量和质量。</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rPr>
            </w:pPr>
            <w:r>
              <w:rPr>
                <w:rFonts w:hint="eastAsia" w:ascii="仿宋" w:hAnsi="仿宋" w:eastAsia="仿宋" w:cs="宋体"/>
                <w:kern w:val="0"/>
                <w:sz w:val="20"/>
                <w:szCs w:val="20"/>
                <w:lang w:eastAsia="zh-CN"/>
              </w:rPr>
              <w:t>计划标准</w:t>
            </w:r>
          </w:p>
        </w:tc>
        <w:tc>
          <w:tcPr>
            <w:tcW w:w="5139" w:type="dxa"/>
            <w:tcBorders>
              <w:tl2br w:val="nil"/>
              <w:tr2bl w:val="nil"/>
            </w:tcBorders>
            <w:shd w:val="clear" w:color="auto" w:fill="auto"/>
            <w:vAlign w:val="center"/>
          </w:tcPr>
          <w:p>
            <w:pPr>
              <w:widowControl/>
              <w:numPr>
                <w:ilvl w:val="0"/>
                <w:numId w:val="0"/>
              </w:numPr>
              <w:jc w:val="left"/>
              <w:rPr>
                <w:rFonts w:hint="eastAsia" w:ascii="仿宋" w:hAnsi="仿宋" w:eastAsia="仿宋" w:cs="宋体"/>
                <w:kern w:val="0"/>
                <w:sz w:val="20"/>
                <w:szCs w:val="20"/>
                <w:lang w:val="en-US" w:eastAsia="zh-CN" w:bidi="ar-SA"/>
              </w:rPr>
            </w:pPr>
            <w:r>
              <w:rPr>
                <w:rFonts w:hint="eastAsia" w:ascii="仿宋" w:hAnsi="仿宋" w:eastAsia="仿宋" w:cs="宋体"/>
                <w:kern w:val="0"/>
                <w:sz w:val="20"/>
                <w:szCs w:val="20"/>
                <w:lang w:val="en-US" w:eastAsia="zh-CN" w:bidi="ar-SA"/>
              </w:rPr>
              <w:t>1.每个乡镇卫生院</w:t>
            </w:r>
            <w:r>
              <w:rPr>
                <w:rFonts w:hint="default" w:ascii="仿宋" w:hAnsi="仿宋" w:eastAsia="仿宋" w:cs="宋体"/>
                <w:kern w:val="0"/>
                <w:sz w:val="20"/>
                <w:szCs w:val="20"/>
                <w:lang w:val="en-US" w:eastAsia="zh-CN" w:bidi="ar-SA"/>
              </w:rPr>
              <w:t>开展</w:t>
            </w:r>
            <w:r>
              <w:rPr>
                <w:rFonts w:hint="eastAsia" w:ascii="仿宋" w:hAnsi="仿宋" w:eastAsia="仿宋" w:cs="宋体"/>
                <w:kern w:val="0"/>
                <w:sz w:val="20"/>
                <w:szCs w:val="20"/>
                <w:lang w:val="en-US" w:eastAsia="zh-CN" w:bidi="ar-SA"/>
              </w:rPr>
              <w:t>健康知识讲座每年不少于12次，村卫生室每两个月至少举办一次健康知识讲座，</w:t>
            </w:r>
            <w:r>
              <w:rPr>
                <w:rFonts w:hint="eastAsia" w:ascii="仿宋" w:hAnsi="仿宋" w:eastAsia="仿宋" w:cs="宋体"/>
                <w:kern w:val="0"/>
                <w:sz w:val="20"/>
                <w:szCs w:val="20"/>
                <w:highlight w:val="none"/>
                <w:lang w:val="en-US" w:eastAsia="zh-CN"/>
              </w:rPr>
              <w:t>得0.5分，否则不得分。</w:t>
            </w:r>
          </w:p>
          <w:p>
            <w:pPr>
              <w:widowControl/>
              <w:numPr>
                <w:ilvl w:val="0"/>
                <w:numId w:val="0"/>
              </w:numPr>
              <w:ind w:left="0" w:leftChars="0" w:firstLine="0" w:firstLineChars="0"/>
              <w:jc w:val="left"/>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bidi="ar-SA"/>
              </w:rPr>
              <w:t>2.健康</w:t>
            </w:r>
            <w:r>
              <w:rPr>
                <w:rFonts w:hint="eastAsia" w:ascii="仿宋" w:hAnsi="仿宋" w:eastAsia="仿宋" w:cs="宋体"/>
                <w:kern w:val="0"/>
                <w:sz w:val="20"/>
                <w:szCs w:val="20"/>
                <w:lang w:eastAsia="zh-CN"/>
              </w:rPr>
              <w:t>知识讲座</w:t>
            </w:r>
            <w:r>
              <w:rPr>
                <w:rFonts w:hint="eastAsia" w:ascii="仿宋" w:hAnsi="仿宋" w:eastAsia="仿宋" w:cs="宋体"/>
                <w:kern w:val="0"/>
                <w:sz w:val="20"/>
                <w:szCs w:val="20"/>
                <w:lang w:val="en-US" w:eastAsia="zh-CN" w:bidi="ar-SA"/>
              </w:rPr>
              <w:t>内容符合服务规范要求且有讲座教案或课件、现场照片，得0.5分，否则不得分。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0.745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122" w:type="dxa"/>
            <w:vMerge w:val="continue"/>
            <w:tcBorders>
              <w:tl2br w:val="nil"/>
              <w:tr2bl w:val="nil"/>
            </w:tcBorders>
            <w:vAlign w:val="center"/>
          </w:tcPr>
          <w:p>
            <w:pPr>
              <w:widowControl/>
              <w:jc w:val="left"/>
              <w:rPr>
                <w:rFonts w:ascii="仿宋" w:hAnsi="仿宋" w:eastAsia="仿宋" w:cs="宋体"/>
                <w:kern w:val="0"/>
                <w:sz w:val="20"/>
                <w:szCs w:val="20"/>
              </w:rPr>
            </w:pPr>
          </w:p>
        </w:tc>
        <w:tc>
          <w:tcPr>
            <w:tcW w:w="1150" w:type="dxa"/>
            <w:vMerge w:val="continue"/>
            <w:tcBorders>
              <w:tl2br w:val="nil"/>
              <w:tr2bl w:val="nil"/>
            </w:tcBorders>
            <w:vAlign w:val="center"/>
          </w:tcPr>
          <w:p>
            <w:pPr>
              <w:widowControl/>
              <w:jc w:val="left"/>
              <w:rPr>
                <w:rFonts w:ascii="仿宋" w:hAnsi="仿宋" w:eastAsia="仿宋" w:cs="宋体"/>
                <w:kern w:val="0"/>
                <w:sz w:val="20"/>
                <w:szCs w:val="20"/>
              </w:rPr>
            </w:pPr>
          </w:p>
        </w:tc>
        <w:tc>
          <w:tcPr>
            <w:tcW w:w="1321"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健康教育宣传栏设置</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p>
        </w:tc>
        <w:tc>
          <w:tcPr>
            <w:tcW w:w="4030"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基层医疗卫生机构设置健康教育宣传栏的数量、更换频次和内容是否符合</w:t>
            </w:r>
            <w:r>
              <w:rPr>
                <w:rFonts w:hint="eastAsia" w:ascii="仿宋" w:hAnsi="仿宋" w:eastAsia="仿宋" w:cs="宋体"/>
                <w:kern w:val="0"/>
                <w:sz w:val="20"/>
                <w:szCs w:val="20"/>
                <w:lang w:eastAsia="zh-CN"/>
              </w:rPr>
              <w:t>国家基本公共卫生服务规范要求，</w:t>
            </w:r>
            <w:r>
              <w:rPr>
                <w:rFonts w:hint="eastAsia" w:ascii="仿宋" w:hAnsi="仿宋" w:eastAsia="仿宋" w:cs="宋体"/>
                <w:kern w:val="0"/>
                <w:sz w:val="20"/>
                <w:szCs w:val="20"/>
                <w:lang w:val="en-US" w:eastAsia="zh-CN"/>
              </w:rPr>
              <w:t>反映和考核健康教育宣传栏设置的数量和质量。</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5139" w:type="dxa"/>
            <w:tcBorders>
              <w:tl2br w:val="nil"/>
              <w:tr2bl w:val="nil"/>
            </w:tcBorders>
            <w:shd w:val="clear" w:color="auto" w:fill="auto"/>
            <w:vAlign w:val="center"/>
          </w:tcPr>
          <w:p>
            <w:pPr>
              <w:widowControl/>
              <w:numPr>
                <w:ilvl w:val="0"/>
                <w:numId w:val="0"/>
              </w:numPr>
              <w:jc w:val="left"/>
              <w:rPr>
                <w:rFonts w:hint="eastAsia" w:ascii="仿宋" w:hAnsi="仿宋" w:eastAsia="仿宋" w:cs="宋体"/>
                <w:kern w:val="0"/>
                <w:sz w:val="20"/>
                <w:szCs w:val="20"/>
                <w:lang w:val="en-US" w:eastAsia="zh-CN" w:bidi="ar-SA"/>
              </w:rPr>
            </w:pPr>
            <w:r>
              <w:rPr>
                <w:rFonts w:hint="eastAsia" w:ascii="仿宋" w:hAnsi="仿宋" w:eastAsia="仿宋" w:cs="宋体"/>
                <w:kern w:val="0"/>
                <w:sz w:val="20"/>
                <w:szCs w:val="20"/>
                <w:lang w:val="en-US" w:eastAsia="zh-CN" w:bidi="ar-SA"/>
              </w:rPr>
              <w:t>1.乡镇卫生院宣传栏不少于2个（不少于2平米），村卫生室宣传栏不少于1个（不少于2平米），得0.5分，每发现一个机构未达标，扣0.1分，至本项分数扣完。</w:t>
            </w:r>
          </w:p>
          <w:p>
            <w:pPr>
              <w:widowControl/>
              <w:numPr>
                <w:ilvl w:val="0"/>
                <w:numId w:val="0"/>
              </w:numPr>
              <w:ind w:left="0" w:leftChars="0" w:firstLine="0" w:firstLineChars="0"/>
              <w:jc w:val="left"/>
              <w:rPr>
                <w:rFonts w:hint="default" w:ascii="仿宋" w:hAnsi="仿宋" w:eastAsia="仿宋" w:cs="宋体"/>
                <w:kern w:val="0"/>
                <w:sz w:val="20"/>
                <w:szCs w:val="20"/>
                <w:lang w:val="en-US" w:eastAsia="zh-CN" w:bidi="ar-SA"/>
              </w:rPr>
            </w:pPr>
            <w:r>
              <w:rPr>
                <w:rFonts w:hint="eastAsia" w:ascii="仿宋" w:hAnsi="仿宋" w:eastAsia="仿宋" w:cs="宋体"/>
                <w:kern w:val="0"/>
                <w:sz w:val="20"/>
                <w:szCs w:val="20"/>
                <w:lang w:val="en-US" w:eastAsia="zh-CN" w:bidi="ar-SA"/>
              </w:rPr>
              <w:t>2.每个机构每两个2月更换1次健康教育宣传栏内容且每次更换均留图片资料，得0.5分，否则不得分。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1122" w:type="dxa"/>
            <w:vMerge w:val="restart"/>
            <w:tcBorders>
              <w:tl2br w:val="nil"/>
              <w:tr2bl w:val="nil"/>
            </w:tcBorders>
            <w:vAlign w:val="center"/>
          </w:tcPr>
          <w:p>
            <w:pPr>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rPr>
              <w:t>产出</w:t>
            </w:r>
          </w:p>
          <w:p>
            <w:pPr>
              <w:jc w:val="center"/>
              <w:rPr>
                <w:rFonts w:ascii="仿宋" w:hAnsi="仿宋" w:eastAsia="仿宋" w:cs="宋体"/>
                <w:kern w:val="0"/>
                <w:sz w:val="20"/>
                <w:szCs w:val="20"/>
              </w:rPr>
            </w:pPr>
            <w:r>
              <w:rPr>
                <w:rFonts w:hint="eastAsia" w:ascii="仿宋" w:hAnsi="仿宋" w:eastAsia="仿宋" w:cs="宋体"/>
                <w:kern w:val="0"/>
                <w:sz w:val="20"/>
                <w:szCs w:val="20"/>
              </w:rPr>
              <w:t>（</w:t>
            </w:r>
            <w:r>
              <w:rPr>
                <w:rFonts w:hint="eastAsia" w:ascii="仿宋" w:hAnsi="仿宋" w:eastAsia="仿宋" w:cs="宋体"/>
                <w:kern w:val="0"/>
                <w:sz w:val="20"/>
                <w:szCs w:val="20"/>
                <w:lang w:val="en-US" w:eastAsia="zh-CN"/>
              </w:rPr>
              <w:t>40</w:t>
            </w:r>
            <w:r>
              <w:rPr>
                <w:rFonts w:hint="eastAsia" w:ascii="仿宋" w:hAnsi="仿宋" w:eastAsia="仿宋" w:cs="宋体"/>
                <w:kern w:val="0"/>
                <w:sz w:val="20"/>
                <w:szCs w:val="20"/>
              </w:rPr>
              <w:t>分）</w:t>
            </w:r>
          </w:p>
        </w:tc>
        <w:tc>
          <w:tcPr>
            <w:tcW w:w="1150" w:type="dxa"/>
            <w:vMerge w:val="continue"/>
            <w:tcBorders>
              <w:tl2br w:val="nil"/>
              <w:tr2bl w:val="nil"/>
            </w:tcBorders>
            <w:vAlign w:val="center"/>
          </w:tcPr>
          <w:p>
            <w:pPr>
              <w:widowControl/>
              <w:jc w:val="left"/>
              <w:rPr>
                <w:rFonts w:ascii="仿宋" w:hAnsi="仿宋" w:eastAsia="仿宋" w:cs="宋体"/>
                <w:kern w:val="0"/>
                <w:sz w:val="20"/>
                <w:szCs w:val="20"/>
              </w:rPr>
            </w:pP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18"/>
                <w:szCs w:val="18"/>
                <w:lang w:eastAsia="zh-CN"/>
              </w:rPr>
              <w:t>健康教育宣传资料</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18"/>
                <w:szCs w:val="18"/>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18"/>
                <w:szCs w:val="18"/>
                <w:lang w:eastAsia="zh-CN"/>
              </w:rPr>
              <w:t>健康教育宣传资料摆放</w:t>
            </w:r>
            <w:r>
              <w:rPr>
                <w:rFonts w:hint="eastAsia" w:ascii="仿宋" w:hAnsi="仿宋" w:eastAsia="仿宋" w:cs="宋体"/>
                <w:kern w:val="0"/>
                <w:sz w:val="18"/>
                <w:szCs w:val="18"/>
                <w:lang w:val="en-US" w:eastAsia="zh-CN"/>
              </w:rPr>
              <w:t>或播放的</w:t>
            </w:r>
            <w:r>
              <w:rPr>
                <w:rFonts w:hint="eastAsia" w:ascii="仿宋" w:hAnsi="仿宋" w:eastAsia="仿宋" w:cs="宋体"/>
                <w:kern w:val="0"/>
                <w:sz w:val="18"/>
                <w:szCs w:val="18"/>
                <w:lang w:eastAsia="zh-CN"/>
              </w:rPr>
              <w:t>种类和内容</w:t>
            </w:r>
            <w:r>
              <w:rPr>
                <w:rFonts w:hint="eastAsia" w:ascii="仿宋" w:hAnsi="仿宋" w:eastAsia="仿宋" w:cs="宋体"/>
                <w:kern w:val="0"/>
                <w:sz w:val="18"/>
                <w:szCs w:val="18"/>
                <w:lang w:val="en-US" w:eastAsia="zh-CN"/>
              </w:rPr>
              <w:t>是否符合</w:t>
            </w:r>
            <w:r>
              <w:rPr>
                <w:rFonts w:hint="eastAsia" w:ascii="仿宋" w:hAnsi="仿宋" w:eastAsia="仿宋" w:cs="宋体"/>
                <w:kern w:val="0"/>
                <w:sz w:val="18"/>
                <w:szCs w:val="18"/>
                <w:lang w:eastAsia="zh-CN"/>
              </w:rPr>
              <w:t>按照国家基本公共卫生服务规范要求，反映和考核健康教育宣传资料的数量和质量。</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18"/>
                <w:szCs w:val="18"/>
                <w:lang w:eastAsia="zh-CN"/>
              </w:rPr>
              <w:t>计划标准</w:t>
            </w:r>
          </w:p>
        </w:tc>
        <w:tc>
          <w:tcPr>
            <w:tcW w:w="5139" w:type="dxa"/>
            <w:tcBorders>
              <w:tl2br w:val="nil"/>
              <w:tr2bl w:val="nil"/>
            </w:tcBorders>
            <w:shd w:val="clear" w:color="auto" w:fill="auto"/>
            <w:vAlign w:val="center"/>
          </w:tcPr>
          <w:p>
            <w:pPr>
              <w:widowControl/>
              <w:numPr>
                <w:ilvl w:val="0"/>
                <w:numId w:val="0"/>
              </w:numPr>
              <w:jc w:val="left"/>
              <w:rPr>
                <w:rFonts w:hint="eastAsia" w:ascii="仿宋" w:hAnsi="仿宋" w:eastAsia="仿宋" w:cs="宋体"/>
                <w:kern w:val="0"/>
                <w:sz w:val="20"/>
                <w:szCs w:val="20"/>
                <w:lang w:val="en-US" w:eastAsia="zh-CN" w:bidi="ar-SA"/>
              </w:rPr>
            </w:pPr>
            <w:r>
              <w:rPr>
                <w:rFonts w:hint="eastAsia" w:ascii="仿宋" w:hAnsi="仿宋" w:eastAsia="仿宋" w:cs="宋体"/>
                <w:kern w:val="0"/>
                <w:sz w:val="20"/>
                <w:szCs w:val="20"/>
                <w:lang w:val="en-US" w:eastAsia="zh-CN" w:bidi="ar-SA"/>
              </w:rPr>
              <w:t>1.放置在乡镇卫生院、村卫生室门诊候诊区、诊室等处的健康教育印刷资料，每个机构每年不少于12种，得0.3分，每发现一个机构未达标，扣0.1分，至本项分数扣完。</w:t>
            </w:r>
          </w:p>
          <w:p>
            <w:pPr>
              <w:pStyle w:val="2"/>
              <w:numPr>
                <w:ilvl w:val="0"/>
                <w:numId w:val="0"/>
              </w:numPr>
              <w:rPr>
                <w:rFonts w:hint="default" w:ascii="仿宋" w:hAnsi="仿宋" w:eastAsia="仿宋" w:cs="宋体"/>
                <w:kern w:val="0"/>
                <w:sz w:val="20"/>
                <w:szCs w:val="20"/>
                <w:lang w:val="en-US" w:eastAsia="zh-CN" w:bidi="ar-SA"/>
              </w:rPr>
            </w:pPr>
            <w:r>
              <w:rPr>
                <w:rFonts w:hint="eastAsia" w:ascii="仿宋" w:hAnsi="仿宋" w:eastAsia="仿宋" w:cs="宋体"/>
                <w:kern w:val="0"/>
                <w:sz w:val="20"/>
                <w:szCs w:val="20"/>
                <w:lang w:val="en-US" w:eastAsia="zh-CN" w:bidi="ar-SA"/>
              </w:rPr>
              <w:t>2.乡镇卫生院应在正常应诊时间内，在门诊侯诊区、观察区、或宣传活现场播放健康教育音像资料，每个机构每年播放音像资料不少于6种，得0.3分，每发现一个机构未达标，扣0.1分，至本项分数扣完。</w:t>
            </w:r>
          </w:p>
          <w:p>
            <w:pPr>
              <w:widowControl/>
              <w:numPr>
                <w:ilvl w:val="0"/>
                <w:numId w:val="0"/>
              </w:numPr>
              <w:jc w:val="left"/>
              <w:rPr>
                <w:rFonts w:hint="default" w:ascii="仿宋" w:hAnsi="仿宋" w:eastAsia="仿宋" w:cs="宋体"/>
                <w:kern w:val="0"/>
                <w:sz w:val="20"/>
                <w:szCs w:val="20"/>
                <w:lang w:val="en-US" w:eastAsia="zh-CN" w:bidi="ar-SA"/>
              </w:rPr>
            </w:pPr>
            <w:r>
              <w:rPr>
                <w:rFonts w:hint="eastAsia" w:ascii="仿宋" w:hAnsi="仿宋" w:eastAsia="仿宋" w:cs="宋体"/>
                <w:kern w:val="0"/>
                <w:sz w:val="20"/>
                <w:szCs w:val="20"/>
                <w:lang w:val="en-US" w:eastAsia="zh-CN" w:bidi="ar-SA"/>
              </w:rPr>
              <w:t>3.宣传资料内容通俗易懂、科学有效，得0.2分，否则不得分。</w:t>
            </w:r>
          </w:p>
          <w:p>
            <w:pPr>
              <w:widowControl/>
              <w:numPr>
                <w:ilvl w:val="0"/>
                <w:numId w:val="0"/>
              </w:numPr>
              <w:ind w:left="0" w:leftChars="0" w:firstLine="0" w:firstLineChars="0"/>
              <w:jc w:val="left"/>
              <w:rPr>
                <w:rFonts w:hint="eastAsia" w:ascii="仿宋" w:hAnsi="仿宋" w:eastAsia="仿宋" w:cs="宋体"/>
                <w:kern w:val="0"/>
                <w:sz w:val="20"/>
                <w:szCs w:val="20"/>
                <w:lang w:val="en-US" w:eastAsia="zh-CN" w:bidi="ar-SA"/>
              </w:rPr>
            </w:pPr>
            <w:r>
              <w:rPr>
                <w:rFonts w:hint="eastAsia" w:ascii="仿宋" w:hAnsi="仿宋" w:eastAsia="仿宋" w:cs="宋体"/>
                <w:kern w:val="0"/>
                <w:sz w:val="20"/>
                <w:szCs w:val="20"/>
                <w:lang w:val="en-US" w:eastAsia="zh-CN" w:bidi="ar-SA"/>
              </w:rPr>
              <w:t>4.各种宣传资料更新补充及时，设施设备可以正常使用，得0.2分，否则不得分。</w:t>
            </w:r>
          </w:p>
        </w:tc>
        <w:tc>
          <w:tcPr>
            <w:tcW w:w="713"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16"/>
                <w:szCs w:val="16"/>
                <w:lang w:val="en-US" w:eastAsia="zh-CN"/>
              </w:rPr>
              <w:t>0.816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22" w:type="dxa"/>
            <w:vMerge w:val="continue"/>
            <w:tcBorders>
              <w:tl2br w:val="nil"/>
              <w:tr2bl w:val="nil"/>
            </w:tcBorders>
            <w:vAlign w:val="center"/>
          </w:tcPr>
          <w:p>
            <w:pPr>
              <w:jc w:val="center"/>
              <w:rPr>
                <w:rFonts w:ascii="仿宋" w:hAnsi="仿宋" w:eastAsia="仿宋" w:cs="宋体"/>
                <w:kern w:val="0"/>
                <w:sz w:val="20"/>
                <w:szCs w:val="20"/>
              </w:rPr>
            </w:pPr>
          </w:p>
        </w:tc>
        <w:tc>
          <w:tcPr>
            <w:tcW w:w="1150" w:type="dxa"/>
            <w:vMerge w:val="restart"/>
            <w:tcBorders>
              <w:tl2br w:val="nil"/>
              <w:tr2bl w:val="nil"/>
            </w:tcBorders>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eastAsia="zh-CN"/>
              </w:rPr>
              <w:t>预防接种（</w:t>
            </w:r>
            <w:r>
              <w:rPr>
                <w:rFonts w:hint="eastAsia" w:ascii="仿宋" w:hAnsi="仿宋" w:eastAsia="仿宋" w:cs="宋体"/>
                <w:kern w:val="0"/>
                <w:sz w:val="20"/>
                <w:szCs w:val="20"/>
                <w:lang w:val="en-US" w:eastAsia="zh-CN"/>
              </w:rPr>
              <w:t>3分）</w:t>
            </w:r>
          </w:p>
        </w:tc>
        <w:tc>
          <w:tcPr>
            <w:tcW w:w="1321" w:type="dxa"/>
            <w:tcBorders>
              <w:tl2br w:val="nil"/>
              <w:tr2bl w:val="nil"/>
            </w:tcBorders>
            <w:shd w:val="clear" w:color="auto" w:fill="auto"/>
            <w:vAlign w:val="center"/>
          </w:tcPr>
          <w:p>
            <w:pPr>
              <w:widowControl/>
              <w:jc w:val="center"/>
              <w:rPr>
                <w:rFonts w:hint="default" w:ascii="仿宋" w:hAnsi="仿宋" w:eastAsia="仿宋" w:cs="宋体"/>
                <w:kern w:val="0"/>
                <w:sz w:val="20"/>
                <w:szCs w:val="20"/>
                <w:highlight w:val="none"/>
                <w:lang w:val="en-US" w:eastAsia="zh-CN"/>
              </w:rPr>
            </w:pPr>
            <w:r>
              <w:rPr>
                <w:rFonts w:hint="eastAsia" w:ascii="仿宋" w:hAnsi="仿宋" w:eastAsia="仿宋" w:cs="宋体"/>
                <w:kern w:val="0"/>
                <w:sz w:val="18"/>
                <w:szCs w:val="18"/>
                <w:highlight w:val="none"/>
                <w:lang w:val="en-US" w:eastAsia="zh-CN"/>
              </w:rPr>
              <w:t>建证率</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highlight w:val="none"/>
                <w:lang w:val="en-US" w:eastAsia="zh-CN"/>
              </w:rPr>
            </w:pPr>
            <w:r>
              <w:rPr>
                <w:rFonts w:hint="eastAsia" w:ascii="仿宋" w:hAnsi="仿宋" w:eastAsia="仿宋" w:cs="宋体"/>
                <w:kern w:val="0"/>
                <w:sz w:val="18"/>
                <w:szCs w:val="18"/>
                <w:highlight w:val="none"/>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highlight w:val="none"/>
              </w:rPr>
            </w:pPr>
            <w:r>
              <w:rPr>
                <w:rFonts w:hint="eastAsia" w:ascii="仿宋" w:hAnsi="仿宋" w:eastAsia="仿宋" w:cs="宋体"/>
                <w:kern w:val="0"/>
                <w:sz w:val="18"/>
                <w:szCs w:val="18"/>
                <w:highlight w:val="none"/>
                <w:lang w:eastAsia="zh-CN"/>
              </w:rPr>
              <w:t>年度辖区</w:t>
            </w:r>
            <w:r>
              <w:rPr>
                <w:rFonts w:hint="eastAsia" w:ascii="仿宋" w:hAnsi="仿宋" w:eastAsia="仿宋" w:cs="宋体"/>
                <w:kern w:val="0"/>
                <w:sz w:val="18"/>
                <w:szCs w:val="18"/>
                <w:highlight w:val="none"/>
                <w:lang w:val="en-US" w:eastAsia="zh-CN"/>
              </w:rPr>
              <w:t>内0-6岁适龄儿童是否及时建立预防接种证</w:t>
            </w:r>
            <w:r>
              <w:rPr>
                <w:rFonts w:hint="eastAsia" w:ascii="仿宋" w:hAnsi="仿宋" w:eastAsia="仿宋" w:cs="宋体"/>
                <w:kern w:val="0"/>
                <w:sz w:val="18"/>
                <w:szCs w:val="18"/>
                <w:highlight w:val="none"/>
                <w:lang w:eastAsia="zh-CN"/>
              </w:rPr>
              <w:t>，反映</w:t>
            </w:r>
            <w:r>
              <w:rPr>
                <w:rFonts w:hint="eastAsia" w:ascii="仿宋" w:hAnsi="仿宋" w:eastAsia="仿宋" w:cs="宋体"/>
                <w:kern w:val="0"/>
                <w:sz w:val="18"/>
                <w:szCs w:val="18"/>
                <w:highlight w:val="none"/>
                <w:lang w:val="en-US" w:eastAsia="zh-CN"/>
              </w:rPr>
              <w:t>和考核</w:t>
            </w:r>
            <w:r>
              <w:rPr>
                <w:rFonts w:hint="eastAsia" w:ascii="仿宋" w:hAnsi="仿宋" w:eastAsia="仿宋" w:cs="宋体"/>
                <w:kern w:val="0"/>
                <w:sz w:val="18"/>
                <w:szCs w:val="18"/>
                <w:highlight w:val="none"/>
                <w:lang w:eastAsia="zh-CN"/>
              </w:rPr>
              <w:t>预防接种的数量。</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highlight w:val="none"/>
                <w:lang w:eastAsia="zh-CN"/>
              </w:rPr>
            </w:pPr>
            <w:r>
              <w:rPr>
                <w:rFonts w:hint="eastAsia" w:ascii="仿宋" w:hAnsi="仿宋" w:eastAsia="仿宋" w:cs="宋体"/>
                <w:kern w:val="0"/>
                <w:sz w:val="18"/>
                <w:szCs w:val="18"/>
                <w:highlight w:val="none"/>
                <w:lang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default" w:ascii="仿宋" w:hAnsi="仿宋" w:eastAsia="仿宋" w:cs="宋体"/>
                <w:kern w:val="0"/>
                <w:sz w:val="20"/>
                <w:szCs w:val="20"/>
                <w:highlight w:val="none"/>
                <w:lang w:val="en-US" w:eastAsia="zh-CN" w:bidi="ar-SA"/>
              </w:rPr>
            </w:pPr>
            <w:r>
              <w:rPr>
                <w:rFonts w:hint="eastAsia" w:ascii="仿宋" w:hAnsi="仿宋" w:eastAsia="仿宋" w:cs="宋体"/>
                <w:kern w:val="0"/>
                <w:sz w:val="20"/>
                <w:szCs w:val="20"/>
                <w:highlight w:val="none"/>
                <w:lang w:val="en-US" w:eastAsia="zh-CN" w:bidi="ar-SA"/>
              </w:rPr>
              <w:t>建证率</w:t>
            </w:r>
            <w:r>
              <w:rPr>
                <w:rFonts w:hint="default" w:ascii="仿宋" w:hAnsi="仿宋" w:eastAsia="仿宋" w:cs="宋体"/>
                <w:kern w:val="0"/>
                <w:sz w:val="20"/>
                <w:szCs w:val="20"/>
                <w:lang w:val="en-US" w:eastAsia="zh-CN"/>
              </w:rPr>
              <w:t>≥</w:t>
            </w:r>
            <w:r>
              <w:rPr>
                <w:rFonts w:hint="eastAsia" w:ascii="仿宋" w:hAnsi="仿宋" w:eastAsia="仿宋" w:cs="宋体"/>
                <w:kern w:val="0"/>
                <w:sz w:val="20"/>
                <w:szCs w:val="20"/>
                <w:lang w:val="en-US" w:eastAsia="zh-CN"/>
              </w:rPr>
              <w:t>100</w:t>
            </w:r>
            <w:r>
              <w:rPr>
                <w:rFonts w:hint="default" w:ascii="仿宋" w:hAnsi="仿宋" w:eastAsia="仿宋" w:cs="宋体"/>
                <w:kern w:val="0"/>
                <w:sz w:val="20"/>
                <w:szCs w:val="20"/>
                <w:lang w:val="en-US" w:eastAsia="zh-CN"/>
              </w:rPr>
              <w:t>%</w:t>
            </w:r>
            <w:r>
              <w:rPr>
                <w:rFonts w:hint="eastAsia" w:ascii="仿宋" w:hAnsi="仿宋" w:eastAsia="仿宋" w:cs="宋体"/>
                <w:kern w:val="0"/>
                <w:sz w:val="20"/>
                <w:szCs w:val="20"/>
                <w:highlight w:val="none"/>
                <w:lang w:val="en-US" w:eastAsia="zh-CN" w:bidi="ar-SA"/>
              </w:rPr>
              <w:t>，得1分，否则不得分。</w:t>
            </w:r>
          </w:p>
        </w:tc>
        <w:tc>
          <w:tcPr>
            <w:tcW w:w="713"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1122" w:type="dxa"/>
            <w:vMerge w:val="continue"/>
            <w:tcBorders>
              <w:tl2br w:val="nil"/>
              <w:tr2bl w:val="nil"/>
            </w:tcBorders>
            <w:vAlign w:val="center"/>
          </w:tcPr>
          <w:p>
            <w:pPr>
              <w:jc w:val="center"/>
              <w:rPr>
                <w:rFonts w:ascii="仿宋" w:hAnsi="仿宋" w:eastAsia="仿宋" w:cs="宋体"/>
                <w:kern w:val="0"/>
                <w:sz w:val="20"/>
                <w:szCs w:val="20"/>
              </w:rPr>
            </w:pPr>
          </w:p>
        </w:tc>
        <w:tc>
          <w:tcPr>
            <w:tcW w:w="1150" w:type="dxa"/>
            <w:vMerge w:val="continue"/>
            <w:tcBorders>
              <w:tl2br w:val="nil"/>
              <w:tr2bl w:val="nil"/>
            </w:tcBorders>
            <w:vAlign w:val="center"/>
          </w:tcPr>
          <w:p>
            <w:pPr>
              <w:jc w:val="center"/>
              <w:rPr>
                <w:rFonts w:hint="eastAsia" w:ascii="仿宋" w:hAnsi="仿宋" w:eastAsia="仿宋" w:cs="宋体"/>
                <w:kern w:val="0"/>
                <w:sz w:val="20"/>
                <w:szCs w:val="20"/>
                <w:lang w:eastAsia="zh-CN"/>
              </w:rPr>
            </w:pP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18"/>
                <w:szCs w:val="18"/>
                <w:lang w:val="en-US" w:eastAsia="zh-CN" w:bidi="ar-SA"/>
              </w:rPr>
              <w:t>疫苗接种率</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18"/>
                <w:szCs w:val="18"/>
                <w:lang w:val="en-US" w:eastAsia="zh-CN"/>
              </w:rPr>
              <w:t>2</w:t>
            </w:r>
          </w:p>
        </w:tc>
        <w:tc>
          <w:tcPr>
            <w:tcW w:w="4030"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18"/>
                <w:szCs w:val="18"/>
                <w:lang w:eastAsia="zh-CN"/>
              </w:rPr>
              <w:t>年度辖区</w:t>
            </w:r>
            <w:r>
              <w:rPr>
                <w:rFonts w:hint="eastAsia" w:ascii="仿宋" w:hAnsi="仿宋" w:eastAsia="仿宋" w:cs="宋体"/>
                <w:kern w:val="0"/>
                <w:sz w:val="18"/>
                <w:szCs w:val="18"/>
                <w:lang w:val="en-US" w:eastAsia="zh-CN"/>
              </w:rPr>
              <w:t>内0-6岁适龄儿童实际接种</w:t>
            </w:r>
            <w:r>
              <w:rPr>
                <w:rFonts w:hint="eastAsia" w:ascii="仿宋" w:hAnsi="仿宋" w:eastAsia="仿宋" w:cs="宋体"/>
                <w:kern w:val="0"/>
                <w:sz w:val="18"/>
                <w:szCs w:val="18"/>
                <w:lang w:val="en-US" w:eastAsia="zh-CN" w:bidi="ar-SA"/>
              </w:rPr>
              <w:t>国家免疫规划疫苗的情况，反映和考核疫苗的实际接种情况</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18"/>
                <w:szCs w:val="18"/>
                <w:lang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bidi="ar-SA"/>
              </w:rPr>
              <w:t>国家免疫规划单种疫苗接种率以镇为单位≥90%，得2分，否则有一种疫苗未达到比例，减0.2分，至本项分值扣完。</w:t>
            </w:r>
          </w:p>
        </w:tc>
        <w:tc>
          <w:tcPr>
            <w:tcW w:w="713"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16"/>
                <w:szCs w:val="16"/>
                <w:lang w:val="en-US" w:eastAsia="zh-CN"/>
              </w:rPr>
              <w:t>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122" w:type="dxa"/>
            <w:vMerge w:val="continue"/>
            <w:tcBorders>
              <w:tl2br w:val="nil"/>
              <w:tr2bl w:val="nil"/>
            </w:tcBorders>
            <w:vAlign w:val="center"/>
          </w:tcPr>
          <w:p>
            <w:pPr>
              <w:jc w:val="center"/>
              <w:rPr>
                <w:rFonts w:hint="default" w:ascii="仿宋" w:hAnsi="仿宋" w:eastAsia="仿宋" w:cs="宋体"/>
                <w:kern w:val="0"/>
                <w:sz w:val="20"/>
                <w:szCs w:val="20"/>
                <w:lang w:val="en-US" w:eastAsia="zh-CN"/>
              </w:rPr>
            </w:pPr>
          </w:p>
        </w:tc>
        <w:tc>
          <w:tcPr>
            <w:tcW w:w="1150" w:type="dxa"/>
            <w:vMerge w:val="restart"/>
            <w:tcBorders>
              <w:tl2br w:val="nil"/>
              <w:tr2bl w:val="nil"/>
            </w:tcBorders>
            <w:vAlign w:val="center"/>
          </w:tcPr>
          <w:p>
            <w:pPr>
              <w:jc w:val="center"/>
              <w:rPr>
                <w:rFonts w:hint="eastAsia" w:ascii="仿宋" w:hAnsi="仿宋" w:eastAsia="仿宋" w:cs="宋体"/>
                <w:kern w:val="0"/>
                <w:sz w:val="18"/>
                <w:szCs w:val="18"/>
                <w:lang w:eastAsia="zh-CN"/>
              </w:rPr>
            </w:pPr>
          </w:p>
          <w:p>
            <w:pPr>
              <w:jc w:val="center"/>
              <w:rPr>
                <w:rFonts w:hint="eastAsia" w:ascii="仿宋" w:hAnsi="仿宋" w:eastAsia="仿宋" w:cs="宋体"/>
                <w:kern w:val="0"/>
                <w:sz w:val="18"/>
                <w:szCs w:val="18"/>
                <w:lang w:eastAsia="zh-CN"/>
              </w:rPr>
            </w:pPr>
          </w:p>
          <w:p>
            <w:pPr>
              <w:jc w:val="center"/>
              <w:rPr>
                <w:rFonts w:hint="eastAsia" w:ascii="仿宋" w:hAnsi="仿宋" w:eastAsia="仿宋" w:cs="宋体"/>
                <w:kern w:val="0"/>
                <w:sz w:val="18"/>
                <w:szCs w:val="18"/>
                <w:lang w:eastAsia="zh-CN"/>
              </w:rPr>
            </w:pPr>
          </w:p>
          <w:p>
            <w:pPr>
              <w:jc w:val="center"/>
              <w:rPr>
                <w:rFonts w:hint="default" w:ascii="仿宋" w:hAnsi="仿宋" w:eastAsia="仿宋" w:cs="宋体"/>
                <w:kern w:val="0"/>
                <w:sz w:val="20"/>
                <w:szCs w:val="20"/>
                <w:lang w:val="en-US" w:eastAsia="zh-CN"/>
              </w:rPr>
            </w:pPr>
            <w:r>
              <w:rPr>
                <w:rFonts w:hint="eastAsia" w:ascii="仿宋" w:hAnsi="仿宋" w:eastAsia="仿宋" w:cs="宋体"/>
                <w:kern w:val="0"/>
                <w:sz w:val="18"/>
                <w:szCs w:val="18"/>
                <w:lang w:eastAsia="zh-CN"/>
              </w:rPr>
              <w:t>儿童健康管理</w:t>
            </w:r>
            <w:r>
              <w:rPr>
                <w:rFonts w:hint="eastAsia" w:ascii="仿宋" w:hAnsi="仿宋" w:eastAsia="仿宋" w:cs="宋体"/>
                <w:kern w:val="0"/>
                <w:sz w:val="18"/>
                <w:szCs w:val="18"/>
                <w:lang w:val="en-US" w:eastAsia="zh-CN"/>
              </w:rPr>
              <w:t xml:space="preserve">       </w:t>
            </w:r>
            <w:r>
              <w:rPr>
                <w:rFonts w:hint="eastAsia" w:ascii="仿宋" w:hAnsi="仿宋" w:eastAsia="仿宋" w:cs="宋体"/>
                <w:kern w:val="0"/>
                <w:sz w:val="18"/>
                <w:szCs w:val="18"/>
                <w:lang w:eastAsia="zh-CN"/>
              </w:rPr>
              <w:t>（</w:t>
            </w:r>
            <w:r>
              <w:rPr>
                <w:rFonts w:hint="eastAsia" w:ascii="仿宋" w:hAnsi="仿宋" w:eastAsia="仿宋" w:cs="宋体"/>
                <w:kern w:val="0"/>
                <w:sz w:val="18"/>
                <w:szCs w:val="18"/>
                <w:lang w:val="en-US" w:eastAsia="zh-CN"/>
              </w:rPr>
              <w:t>4分）</w:t>
            </w: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18"/>
                <w:szCs w:val="18"/>
                <w:lang w:eastAsia="zh-CN"/>
              </w:rPr>
              <w:t>新生儿访视率</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18"/>
                <w:szCs w:val="18"/>
                <w:lang w:val="en-US" w:eastAsia="zh-CN"/>
              </w:rPr>
              <w:t>2</w:t>
            </w:r>
          </w:p>
        </w:tc>
        <w:tc>
          <w:tcPr>
            <w:tcW w:w="4030"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18"/>
                <w:szCs w:val="18"/>
                <w:lang w:eastAsia="zh-CN"/>
              </w:rPr>
              <w:t>年度辖区内接受</w:t>
            </w:r>
            <w:r>
              <w:rPr>
                <w:rFonts w:hint="eastAsia" w:ascii="仿宋" w:hAnsi="仿宋" w:eastAsia="仿宋" w:cs="宋体"/>
                <w:kern w:val="0"/>
                <w:sz w:val="18"/>
                <w:szCs w:val="18"/>
                <w:lang w:val="en-US" w:eastAsia="zh-CN"/>
              </w:rPr>
              <w:t>1次及以上访视的新生儿人数，且其是否按照服务规范要求的内容进行访视，反映和考核新生儿健康管理服务的数量的质量。</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18"/>
                <w:szCs w:val="18"/>
                <w:lang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default" w:ascii="仿宋" w:hAnsi="仿宋" w:eastAsia="仿宋" w:cs="宋体"/>
                <w:kern w:val="0"/>
                <w:sz w:val="20"/>
                <w:szCs w:val="20"/>
                <w:lang w:val="en-US" w:eastAsia="zh-CN"/>
              </w:rPr>
            </w:pPr>
            <w:r>
              <w:rPr>
                <w:rFonts w:hint="eastAsia" w:ascii="仿宋" w:hAnsi="仿宋" w:eastAsia="仿宋" w:cs="宋体"/>
                <w:kern w:val="0"/>
                <w:sz w:val="18"/>
                <w:szCs w:val="18"/>
                <w:lang w:val="en-US" w:eastAsia="zh-CN" w:bidi="ar-SA"/>
              </w:rPr>
              <w:t>年度辖区内按照规范要求接受1次及以上访视的</w:t>
            </w:r>
            <w:r>
              <w:rPr>
                <w:rFonts w:hint="default" w:ascii="仿宋" w:hAnsi="仿宋" w:eastAsia="仿宋" w:cs="宋体"/>
                <w:kern w:val="0"/>
                <w:sz w:val="18"/>
                <w:szCs w:val="18"/>
                <w:lang w:val="en-US" w:eastAsia="zh-CN" w:bidi="ar-SA"/>
              </w:rPr>
              <w:t>新生儿访视率≥</w:t>
            </w:r>
            <w:r>
              <w:rPr>
                <w:rFonts w:hint="eastAsia" w:ascii="仿宋" w:hAnsi="仿宋" w:eastAsia="仿宋" w:cs="宋体"/>
                <w:kern w:val="0"/>
                <w:sz w:val="18"/>
                <w:szCs w:val="18"/>
                <w:lang w:val="en-US" w:eastAsia="zh-CN" w:bidi="ar-SA"/>
              </w:rPr>
              <w:t>95</w:t>
            </w:r>
            <w:r>
              <w:rPr>
                <w:rFonts w:hint="default" w:ascii="仿宋" w:hAnsi="仿宋" w:eastAsia="仿宋" w:cs="宋体"/>
                <w:kern w:val="0"/>
                <w:sz w:val="18"/>
                <w:szCs w:val="18"/>
                <w:lang w:val="en-US" w:eastAsia="zh-CN" w:bidi="ar-SA"/>
              </w:rPr>
              <w:t>%</w:t>
            </w:r>
            <w:r>
              <w:rPr>
                <w:rFonts w:hint="eastAsia" w:ascii="仿宋" w:hAnsi="仿宋" w:eastAsia="仿宋" w:cs="宋体"/>
                <w:kern w:val="0"/>
                <w:sz w:val="18"/>
                <w:szCs w:val="18"/>
                <w:lang w:val="en-US" w:eastAsia="zh-CN" w:bidi="ar-SA"/>
              </w:rPr>
              <w:t>，得2分，否则依据项目实际情况得分。</w:t>
            </w:r>
          </w:p>
        </w:tc>
        <w:tc>
          <w:tcPr>
            <w:tcW w:w="713"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122" w:type="dxa"/>
            <w:vMerge w:val="restart"/>
            <w:tcBorders>
              <w:tl2br w:val="nil"/>
              <w:tr2bl w:val="nil"/>
            </w:tcBorders>
            <w:vAlign w:val="center"/>
          </w:tcPr>
          <w:p>
            <w:pPr>
              <w:jc w:val="center"/>
              <w:rPr>
                <w:rFonts w:ascii="仿宋" w:hAnsi="仿宋" w:eastAsia="仿宋" w:cs="宋体"/>
                <w:kern w:val="0"/>
                <w:sz w:val="20"/>
                <w:szCs w:val="20"/>
              </w:rPr>
            </w:pPr>
            <w:r>
              <w:rPr>
                <w:rFonts w:hint="eastAsia" w:ascii="仿宋" w:hAnsi="仿宋" w:eastAsia="仿宋" w:cs="宋体"/>
                <w:kern w:val="0"/>
                <w:sz w:val="20"/>
                <w:szCs w:val="20"/>
                <w:lang w:val="en-US" w:eastAsia="zh-CN"/>
              </w:rPr>
              <w:t>产出   （40分）</w:t>
            </w:r>
          </w:p>
        </w:tc>
        <w:tc>
          <w:tcPr>
            <w:tcW w:w="1150" w:type="dxa"/>
            <w:vMerge w:val="continue"/>
            <w:tcBorders>
              <w:tl2br w:val="nil"/>
              <w:tr2bl w:val="nil"/>
            </w:tcBorders>
            <w:vAlign w:val="center"/>
          </w:tcPr>
          <w:p>
            <w:pPr>
              <w:jc w:val="center"/>
              <w:rPr>
                <w:rFonts w:hint="eastAsia" w:ascii="仿宋" w:hAnsi="仿宋" w:eastAsia="仿宋" w:cs="宋体"/>
                <w:kern w:val="0"/>
                <w:sz w:val="20"/>
                <w:szCs w:val="20"/>
                <w:lang w:eastAsia="zh-CN"/>
              </w:rPr>
            </w:pP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18"/>
                <w:szCs w:val="18"/>
                <w:lang w:eastAsia="zh-CN"/>
              </w:rPr>
              <w:t>儿童健康管理率</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18"/>
                <w:szCs w:val="18"/>
                <w:lang w:val="en-US" w:eastAsia="zh-CN"/>
              </w:rPr>
              <w:t>2</w:t>
            </w:r>
          </w:p>
        </w:tc>
        <w:tc>
          <w:tcPr>
            <w:tcW w:w="4030" w:type="dxa"/>
            <w:tcBorders>
              <w:tl2br w:val="nil"/>
              <w:tr2bl w:val="nil"/>
            </w:tcBorders>
            <w:shd w:val="clear" w:color="auto" w:fill="auto"/>
            <w:vAlign w:val="center"/>
          </w:tcPr>
          <w:p>
            <w:pPr>
              <w:widowControl/>
              <w:jc w:val="left"/>
              <w:rPr>
                <w:rFonts w:ascii="仿宋" w:hAnsi="仿宋" w:eastAsia="仿宋" w:cs="宋体"/>
                <w:kern w:val="0"/>
                <w:sz w:val="20"/>
                <w:szCs w:val="20"/>
              </w:rPr>
            </w:pPr>
            <w:r>
              <w:rPr>
                <w:rFonts w:hint="eastAsia" w:ascii="仿宋" w:hAnsi="仿宋" w:eastAsia="仿宋" w:cs="宋体"/>
                <w:kern w:val="0"/>
                <w:sz w:val="18"/>
                <w:szCs w:val="18"/>
                <w:lang w:eastAsia="zh-CN"/>
              </w:rPr>
              <w:t>年度辖区内接受</w:t>
            </w:r>
            <w:r>
              <w:rPr>
                <w:rFonts w:hint="eastAsia" w:ascii="仿宋" w:hAnsi="仿宋" w:eastAsia="仿宋" w:cs="宋体"/>
                <w:kern w:val="0"/>
                <w:sz w:val="18"/>
                <w:szCs w:val="18"/>
                <w:lang w:val="en-US" w:eastAsia="zh-CN"/>
              </w:rPr>
              <w:t>1次及以上访视的0-6岁儿童人数，且其是否按照服务规范要求的内容进行随访，反映儿童健康管理服务的数量和质量。</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18"/>
                <w:szCs w:val="18"/>
                <w:lang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default" w:ascii="仿宋" w:hAnsi="仿宋" w:eastAsia="仿宋" w:cs="宋体"/>
                <w:kern w:val="0"/>
                <w:sz w:val="20"/>
                <w:szCs w:val="20"/>
                <w:lang w:val="en-US" w:eastAsia="zh-CN"/>
              </w:rPr>
            </w:pPr>
            <w:r>
              <w:rPr>
                <w:rFonts w:hint="eastAsia" w:ascii="仿宋" w:hAnsi="仿宋" w:eastAsia="仿宋" w:cs="宋体"/>
                <w:kern w:val="0"/>
                <w:sz w:val="18"/>
                <w:szCs w:val="18"/>
                <w:lang w:val="en-US" w:eastAsia="zh-CN"/>
              </w:rPr>
              <w:t>年度辖区内按照规范要求接受1次及以上随访的0-6岁儿童</w:t>
            </w:r>
            <w:r>
              <w:rPr>
                <w:rFonts w:hint="default" w:ascii="仿宋" w:hAnsi="仿宋" w:eastAsia="仿宋" w:cs="宋体"/>
                <w:kern w:val="0"/>
                <w:sz w:val="18"/>
                <w:szCs w:val="18"/>
                <w:lang w:val="en-US" w:eastAsia="zh-CN"/>
              </w:rPr>
              <w:t>健康管理率≥</w:t>
            </w:r>
            <w:r>
              <w:rPr>
                <w:rFonts w:hint="eastAsia" w:ascii="仿宋" w:hAnsi="仿宋" w:eastAsia="仿宋" w:cs="宋体"/>
                <w:kern w:val="0"/>
                <w:sz w:val="18"/>
                <w:szCs w:val="18"/>
                <w:lang w:val="en-US" w:eastAsia="zh-CN"/>
              </w:rPr>
              <w:t>85</w:t>
            </w:r>
            <w:r>
              <w:rPr>
                <w:rFonts w:hint="default" w:ascii="仿宋" w:hAnsi="仿宋" w:eastAsia="仿宋" w:cs="宋体"/>
                <w:kern w:val="0"/>
                <w:sz w:val="18"/>
                <w:szCs w:val="18"/>
                <w:lang w:val="en-US" w:eastAsia="zh-CN"/>
              </w:rPr>
              <w:t>%</w:t>
            </w:r>
            <w:r>
              <w:rPr>
                <w:rFonts w:hint="eastAsia" w:ascii="仿宋" w:hAnsi="仿宋" w:eastAsia="仿宋" w:cs="宋体"/>
                <w:kern w:val="0"/>
                <w:sz w:val="18"/>
                <w:szCs w:val="18"/>
                <w:lang w:val="en-US" w:eastAsia="zh-CN"/>
              </w:rPr>
              <w:t>，得2分，否则依据项目实际情况得分。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122" w:type="dxa"/>
            <w:vMerge w:val="continue"/>
            <w:tcBorders>
              <w:tl2br w:val="nil"/>
              <w:tr2bl w:val="nil"/>
            </w:tcBorders>
            <w:vAlign w:val="center"/>
          </w:tcPr>
          <w:p>
            <w:pPr>
              <w:jc w:val="center"/>
              <w:rPr>
                <w:rFonts w:ascii="仿宋" w:hAnsi="仿宋" w:eastAsia="仿宋" w:cs="宋体"/>
                <w:kern w:val="0"/>
                <w:sz w:val="20"/>
                <w:szCs w:val="20"/>
              </w:rPr>
            </w:pPr>
          </w:p>
        </w:tc>
        <w:tc>
          <w:tcPr>
            <w:tcW w:w="1150" w:type="dxa"/>
            <w:vMerge w:val="restart"/>
            <w:tcBorders>
              <w:tl2br w:val="nil"/>
              <w:tr2bl w:val="nil"/>
            </w:tcBorders>
            <w:vAlign w:val="center"/>
          </w:tcPr>
          <w:p>
            <w:pPr>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孕、产、妇女健康管理      （6分）</w:t>
            </w: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18"/>
                <w:szCs w:val="18"/>
                <w:lang w:eastAsia="zh-CN"/>
              </w:rPr>
              <w:t>孕产妇健康管理</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18"/>
                <w:szCs w:val="18"/>
                <w:lang w:val="en-US" w:eastAsia="zh-CN"/>
              </w:rPr>
              <w:t>2</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18"/>
                <w:szCs w:val="18"/>
                <w:lang w:eastAsia="zh-CN"/>
              </w:rPr>
              <w:t>年度辖区内</w:t>
            </w:r>
            <w:r>
              <w:rPr>
                <w:rFonts w:hint="eastAsia" w:ascii="仿宋" w:hAnsi="仿宋" w:eastAsia="仿宋" w:cs="宋体"/>
                <w:kern w:val="0"/>
                <w:sz w:val="18"/>
                <w:szCs w:val="18"/>
                <w:lang w:val="en-US" w:eastAsia="zh-CN"/>
              </w:rPr>
              <w:t>是否对</w:t>
            </w:r>
            <w:r>
              <w:rPr>
                <w:rFonts w:hint="eastAsia" w:ascii="仿宋" w:hAnsi="仿宋" w:eastAsia="仿宋" w:cs="宋体"/>
                <w:kern w:val="0"/>
                <w:sz w:val="18"/>
                <w:szCs w:val="18"/>
                <w:lang w:eastAsia="zh-CN"/>
              </w:rPr>
              <w:t>在孕</w:t>
            </w:r>
            <w:r>
              <w:rPr>
                <w:rFonts w:hint="eastAsia" w:ascii="仿宋" w:hAnsi="仿宋" w:eastAsia="仿宋" w:cs="宋体"/>
                <w:kern w:val="0"/>
                <w:sz w:val="18"/>
                <w:szCs w:val="18"/>
                <w:lang w:val="en-US" w:eastAsia="zh-CN"/>
              </w:rPr>
              <w:t>13周之前建立《孕产妇保健手册》的孕妇进行规范管理；是否按照规定时间对产妇进行</w:t>
            </w:r>
            <w:r>
              <w:rPr>
                <w:rFonts w:hint="eastAsia" w:ascii="仿宋" w:hAnsi="仿宋" w:eastAsia="仿宋" w:cs="宋体"/>
                <w:kern w:val="0"/>
                <w:sz w:val="18"/>
                <w:szCs w:val="18"/>
                <w:lang w:eastAsia="zh-CN"/>
              </w:rPr>
              <w:t>产后访视，</w:t>
            </w:r>
            <w:r>
              <w:rPr>
                <w:rFonts w:hint="eastAsia" w:ascii="仿宋" w:hAnsi="仿宋" w:eastAsia="仿宋" w:cs="宋体"/>
                <w:kern w:val="0"/>
                <w:sz w:val="18"/>
                <w:szCs w:val="18"/>
                <w:lang w:val="en-US" w:eastAsia="zh-CN"/>
              </w:rPr>
              <w:t>并按规范要求对产妇产褥期进行健康指导。反映</w:t>
            </w:r>
            <w:r>
              <w:rPr>
                <w:rFonts w:hint="eastAsia" w:ascii="仿宋" w:hAnsi="仿宋" w:eastAsia="仿宋" w:cs="宋体"/>
                <w:kern w:val="0"/>
                <w:sz w:val="18"/>
                <w:szCs w:val="18"/>
                <w:lang w:eastAsia="zh-CN"/>
              </w:rPr>
              <w:t>孕产妇健康管理</w:t>
            </w:r>
            <w:r>
              <w:rPr>
                <w:rFonts w:hint="eastAsia" w:ascii="仿宋" w:hAnsi="仿宋" w:eastAsia="仿宋" w:cs="宋体"/>
                <w:kern w:val="0"/>
                <w:sz w:val="18"/>
                <w:szCs w:val="18"/>
                <w:lang w:val="en-US" w:eastAsia="zh-CN"/>
              </w:rPr>
              <w:t>的数量和质量</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18"/>
                <w:szCs w:val="18"/>
                <w:lang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eastAsia" w:ascii="仿宋" w:hAnsi="仿宋" w:eastAsia="仿宋" w:cs="宋体"/>
                <w:kern w:val="0"/>
                <w:sz w:val="20"/>
                <w:szCs w:val="20"/>
                <w:lang w:val="en-US" w:eastAsia="zh-CN"/>
              </w:rPr>
            </w:pPr>
            <w:r>
              <w:rPr>
                <w:rFonts w:hint="eastAsia" w:ascii="仿宋" w:hAnsi="仿宋" w:eastAsia="仿宋" w:cs="宋体"/>
                <w:kern w:val="0"/>
                <w:sz w:val="18"/>
                <w:szCs w:val="18"/>
                <w:lang w:val="en-US" w:eastAsia="zh-CN"/>
              </w:rPr>
              <w:t>1.辖区内</w:t>
            </w:r>
            <w:r>
              <w:rPr>
                <w:rFonts w:hint="default" w:ascii="仿宋" w:hAnsi="仿宋" w:eastAsia="仿宋" w:cs="宋体"/>
                <w:kern w:val="0"/>
                <w:sz w:val="18"/>
                <w:szCs w:val="18"/>
                <w:lang w:val="en-US" w:eastAsia="zh-CN"/>
              </w:rPr>
              <w:t>孕</w:t>
            </w:r>
            <w:r>
              <w:rPr>
                <w:rFonts w:hint="eastAsia" w:ascii="仿宋" w:hAnsi="仿宋" w:eastAsia="仿宋" w:cs="宋体"/>
                <w:kern w:val="0"/>
                <w:sz w:val="18"/>
                <w:szCs w:val="18"/>
                <w:lang w:val="en-US" w:eastAsia="zh-CN"/>
              </w:rPr>
              <w:t>13周之前建册并进行第一次产前检查的</w:t>
            </w:r>
            <w:r>
              <w:rPr>
                <w:rFonts w:hint="default" w:ascii="仿宋" w:hAnsi="仿宋" w:eastAsia="仿宋" w:cs="宋体"/>
                <w:kern w:val="0"/>
                <w:sz w:val="18"/>
                <w:szCs w:val="18"/>
                <w:lang w:val="en-US" w:eastAsia="zh-CN"/>
              </w:rPr>
              <w:t>产妇，早孕</w:t>
            </w:r>
            <w:r>
              <w:rPr>
                <w:rFonts w:hint="eastAsia" w:ascii="仿宋" w:hAnsi="仿宋" w:eastAsia="仿宋" w:cs="宋体"/>
                <w:kern w:val="0"/>
                <w:sz w:val="18"/>
                <w:szCs w:val="18"/>
                <w:lang w:val="en-US" w:eastAsia="zh-CN"/>
              </w:rPr>
              <w:t>建册</w:t>
            </w:r>
            <w:r>
              <w:rPr>
                <w:rFonts w:hint="default" w:ascii="仿宋" w:hAnsi="仿宋" w:eastAsia="仿宋" w:cs="宋体"/>
                <w:kern w:val="0"/>
                <w:sz w:val="18"/>
                <w:szCs w:val="18"/>
                <w:lang w:val="en-US" w:eastAsia="zh-CN"/>
              </w:rPr>
              <w:t>率≥</w:t>
            </w:r>
            <w:r>
              <w:rPr>
                <w:rFonts w:hint="eastAsia" w:ascii="仿宋" w:hAnsi="仿宋" w:eastAsia="仿宋" w:cs="宋体"/>
                <w:kern w:val="0"/>
                <w:sz w:val="18"/>
                <w:szCs w:val="18"/>
                <w:lang w:val="en-US" w:eastAsia="zh-CN"/>
              </w:rPr>
              <w:t>85</w:t>
            </w:r>
            <w:r>
              <w:rPr>
                <w:rFonts w:hint="default" w:ascii="仿宋" w:hAnsi="仿宋" w:eastAsia="仿宋" w:cs="宋体"/>
                <w:kern w:val="0"/>
                <w:sz w:val="18"/>
                <w:szCs w:val="18"/>
                <w:lang w:val="en-US" w:eastAsia="zh-CN"/>
              </w:rPr>
              <w:t>%</w:t>
            </w:r>
            <w:r>
              <w:rPr>
                <w:rFonts w:hint="eastAsia" w:ascii="仿宋" w:hAnsi="仿宋" w:eastAsia="仿宋" w:cs="宋体"/>
                <w:kern w:val="0"/>
                <w:sz w:val="18"/>
                <w:szCs w:val="18"/>
                <w:lang w:val="en-US" w:eastAsia="zh-CN"/>
              </w:rPr>
              <w:t>，得1分，否则不得分。           2.辖区内产妇出院后28天内按照规范要求接受过产后访视的产妇</w:t>
            </w:r>
            <w:r>
              <w:rPr>
                <w:rFonts w:hint="default" w:ascii="仿宋" w:hAnsi="仿宋" w:eastAsia="仿宋" w:cs="宋体"/>
                <w:kern w:val="0"/>
                <w:sz w:val="18"/>
                <w:szCs w:val="18"/>
                <w:lang w:val="en-US" w:eastAsia="zh-CN"/>
              </w:rPr>
              <w:t>产后访视率≥</w:t>
            </w:r>
            <w:r>
              <w:rPr>
                <w:rFonts w:hint="eastAsia" w:ascii="仿宋" w:hAnsi="仿宋" w:eastAsia="仿宋" w:cs="宋体"/>
                <w:kern w:val="0"/>
                <w:sz w:val="18"/>
                <w:szCs w:val="18"/>
                <w:lang w:val="en-US" w:eastAsia="zh-CN"/>
              </w:rPr>
              <w:t>85</w:t>
            </w:r>
            <w:r>
              <w:rPr>
                <w:rFonts w:hint="default" w:ascii="仿宋" w:hAnsi="仿宋" w:eastAsia="仿宋" w:cs="宋体"/>
                <w:kern w:val="0"/>
                <w:sz w:val="18"/>
                <w:szCs w:val="18"/>
                <w:lang w:val="en-US" w:eastAsia="zh-CN"/>
              </w:rPr>
              <w:t>%</w:t>
            </w:r>
            <w:r>
              <w:rPr>
                <w:rFonts w:hint="eastAsia" w:ascii="仿宋" w:hAnsi="仿宋" w:eastAsia="仿宋" w:cs="宋体"/>
                <w:kern w:val="0"/>
                <w:sz w:val="18"/>
                <w:szCs w:val="18"/>
                <w:lang w:val="en-US" w:eastAsia="zh-CN"/>
              </w:rPr>
              <w:t>，得1分，否则不得分。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1.055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122" w:type="dxa"/>
            <w:vMerge w:val="continue"/>
            <w:tcBorders>
              <w:tl2br w:val="nil"/>
              <w:tr2bl w:val="nil"/>
            </w:tcBorders>
            <w:vAlign w:val="center"/>
          </w:tcPr>
          <w:p>
            <w:pPr>
              <w:jc w:val="center"/>
              <w:rPr>
                <w:rFonts w:ascii="仿宋" w:hAnsi="仿宋" w:eastAsia="仿宋" w:cs="宋体"/>
                <w:kern w:val="0"/>
                <w:sz w:val="20"/>
                <w:szCs w:val="20"/>
              </w:rPr>
            </w:pPr>
          </w:p>
        </w:tc>
        <w:tc>
          <w:tcPr>
            <w:tcW w:w="1150" w:type="dxa"/>
            <w:vMerge w:val="continue"/>
            <w:tcBorders>
              <w:tl2br w:val="nil"/>
              <w:tr2bl w:val="nil"/>
            </w:tcBorders>
            <w:vAlign w:val="center"/>
          </w:tcPr>
          <w:p>
            <w:pPr>
              <w:jc w:val="center"/>
              <w:rPr>
                <w:rFonts w:hint="eastAsia" w:ascii="仿宋" w:hAnsi="仿宋" w:eastAsia="仿宋" w:cs="宋体"/>
                <w:kern w:val="0"/>
                <w:sz w:val="20"/>
                <w:szCs w:val="20"/>
                <w:lang w:val="en-US" w:eastAsia="zh-CN" w:bidi="ar-SA"/>
              </w:rPr>
            </w:pPr>
          </w:p>
        </w:tc>
        <w:tc>
          <w:tcPr>
            <w:tcW w:w="1321" w:type="dxa"/>
            <w:tcBorders>
              <w:tl2br w:val="nil"/>
              <w:tr2bl w:val="nil"/>
            </w:tcBorders>
            <w:shd w:val="clear" w:color="auto" w:fill="auto"/>
            <w:vAlign w:val="center"/>
          </w:tcPr>
          <w:p>
            <w:pPr>
              <w:jc w:val="center"/>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农村妇女“两癌”检查</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bidi="ar-SA"/>
              </w:rPr>
              <w:t>2</w:t>
            </w:r>
          </w:p>
        </w:tc>
        <w:tc>
          <w:tcPr>
            <w:tcW w:w="4030"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是否按照工作规范要求对对辖区内35-64岁农村妇女进行宫颈癌检查检查，并进行了两癌防治知识普及，反映和考核农村妇女“两癌”检查项目的开展情况。</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1.完成农村妇女宫颈癌检查14000人，得0.4分，否则不得分；2.完成农村妇女乳腺癌检查3000人，得0.4分，否则不得分；3.宫颈癌早诊率</w:t>
            </w:r>
            <w:r>
              <w:rPr>
                <w:rFonts w:hint="default" w:ascii="仿宋" w:hAnsi="仿宋" w:eastAsia="仿宋" w:cs="宋体"/>
                <w:kern w:val="0"/>
                <w:sz w:val="18"/>
                <w:szCs w:val="18"/>
                <w:lang w:val="en-US" w:eastAsia="zh-CN"/>
              </w:rPr>
              <w:t>≥</w:t>
            </w:r>
            <w:r>
              <w:rPr>
                <w:rFonts w:hint="eastAsia" w:ascii="仿宋" w:hAnsi="仿宋" w:eastAsia="仿宋" w:cs="宋体"/>
                <w:kern w:val="0"/>
                <w:sz w:val="18"/>
                <w:szCs w:val="18"/>
                <w:lang w:val="en-US" w:eastAsia="zh-CN"/>
              </w:rPr>
              <w:t>90%，得0.4分，否则不得分；4.乳腺癌早疹率</w:t>
            </w:r>
            <w:r>
              <w:rPr>
                <w:rFonts w:hint="default" w:ascii="仿宋" w:hAnsi="仿宋" w:eastAsia="仿宋" w:cs="宋体"/>
                <w:kern w:val="0"/>
                <w:sz w:val="18"/>
                <w:szCs w:val="18"/>
                <w:lang w:val="en-US" w:eastAsia="zh-CN"/>
              </w:rPr>
              <w:t>≥</w:t>
            </w:r>
            <w:r>
              <w:rPr>
                <w:rFonts w:hint="eastAsia" w:ascii="仿宋" w:hAnsi="仿宋" w:eastAsia="仿宋" w:cs="宋体"/>
                <w:kern w:val="0"/>
                <w:sz w:val="18"/>
                <w:szCs w:val="18"/>
                <w:lang w:val="en-US" w:eastAsia="zh-CN"/>
              </w:rPr>
              <w:t>60%，得0.4分，否则不得分；5.异常病例管理规范，得0.4分，否则视项目管理情况扣分。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122" w:type="dxa"/>
            <w:vMerge w:val="continue"/>
            <w:tcBorders>
              <w:tl2br w:val="nil"/>
              <w:tr2bl w:val="nil"/>
            </w:tcBorders>
            <w:vAlign w:val="center"/>
          </w:tcPr>
          <w:p>
            <w:pPr>
              <w:jc w:val="center"/>
              <w:rPr>
                <w:rFonts w:ascii="仿宋" w:hAnsi="仿宋" w:eastAsia="仿宋" w:cs="宋体"/>
                <w:kern w:val="0"/>
                <w:sz w:val="20"/>
                <w:szCs w:val="20"/>
              </w:rPr>
            </w:pPr>
          </w:p>
        </w:tc>
        <w:tc>
          <w:tcPr>
            <w:tcW w:w="1150" w:type="dxa"/>
            <w:vMerge w:val="continue"/>
            <w:tcBorders>
              <w:tl2br w:val="nil"/>
              <w:tr2bl w:val="nil"/>
            </w:tcBorders>
            <w:vAlign w:val="center"/>
          </w:tcPr>
          <w:p>
            <w:pPr>
              <w:jc w:val="center"/>
              <w:rPr>
                <w:rFonts w:hint="eastAsia" w:ascii="仿宋" w:hAnsi="仿宋" w:eastAsia="仿宋" w:cs="宋体"/>
                <w:kern w:val="0"/>
                <w:sz w:val="20"/>
                <w:szCs w:val="20"/>
                <w:lang w:val="en-US" w:eastAsia="zh-CN" w:bidi="ar-SA"/>
              </w:rPr>
            </w:pPr>
          </w:p>
        </w:tc>
        <w:tc>
          <w:tcPr>
            <w:tcW w:w="1321" w:type="dxa"/>
            <w:tcBorders>
              <w:tl2br w:val="nil"/>
              <w:tr2bl w:val="nil"/>
            </w:tcBorders>
            <w:shd w:val="clear" w:color="auto" w:fill="auto"/>
            <w:vAlign w:val="center"/>
          </w:tcPr>
          <w:p>
            <w:pPr>
              <w:jc w:val="center"/>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增补叶酸预防神经管缺陷</w:t>
            </w:r>
          </w:p>
        </w:tc>
        <w:tc>
          <w:tcPr>
            <w:tcW w:w="659"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是否对辖区内每位准备怀孕和孕早期3个月的农村妇生育妇女提供免费增补叶酸服务，以达到有效降低神经管缺陷发生率。</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1.完成4300名准备怀孕的农村妇女，免费增补叶酸，完成率100%，得0.4分，低于60%不得分,60%至100%之间按比例计算得分；2.完成500名城镇妇女在免费增补叶酸，完成率100%，得0.3分，低于60%不得分,60%至100%之间按比例计算得分；3.叶酸服务率达到80%以上，得0.3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0.978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122" w:type="dxa"/>
            <w:vMerge w:val="continue"/>
            <w:tcBorders>
              <w:tl2br w:val="nil"/>
              <w:tr2bl w:val="nil"/>
            </w:tcBorders>
            <w:vAlign w:val="center"/>
          </w:tcPr>
          <w:p>
            <w:pPr>
              <w:jc w:val="center"/>
              <w:rPr>
                <w:rFonts w:ascii="仿宋" w:hAnsi="仿宋" w:eastAsia="仿宋" w:cs="宋体"/>
                <w:kern w:val="0"/>
                <w:sz w:val="20"/>
                <w:szCs w:val="20"/>
              </w:rPr>
            </w:pPr>
          </w:p>
        </w:tc>
        <w:tc>
          <w:tcPr>
            <w:tcW w:w="1150" w:type="dxa"/>
            <w:vMerge w:val="continue"/>
            <w:tcBorders>
              <w:tl2br w:val="nil"/>
              <w:tr2bl w:val="nil"/>
            </w:tcBorders>
            <w:vAlign w:val="center"/>
          </w:tcPr>
          <w:p>
            <w:pPr>
              <w:jc w:val="center"/>
              <w:rPr>
                <w:rFonts w:hint="eastAsia" w:ascii="仿宋" w:hAnsi="仿宋" w:eastAsia="仿宋" w:cs="宋体"/>
                <w:kern w:val="0"/>
                <w:sz w:val="20"/>
                <w:szCs w:val="20"/>
                <w:lang w:val="en-US" w:eastAsia="zh-CN" w:bidi="ar-SA"/>
              </w:rPr>
            </w:pPr>
          </w:p>
        </w:tc>
        <w:tc>
          <w:tcPr>
            <w:tcW w:w="1321" w:type="dxa"/>
            <w:tcBorders>
              <w:tl2br w:val="nil"/>
              <w:tr2bl w:val="nil"/>
            </w:tcBorders>
            <w:shd w:val="clear" w:color="auto" w:fill="auto"/>
            <w:vAlign w:val="center"/>
          </w:tcPr>
          <w:p>
            <w:pPr>
              <w:jc w:val="center"/>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免费孕前优生健康检查</w:t>
            </w:r>
          </w:p>
        </w:tc>
        <w:tc>
          <w:tcPr>
            <w:tcW w:w="659"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是否对辖区目标人群提供规范的孕前优生健康检查服务，以有效降低出生缺陷发生风险。</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eastAsia" w:ascii="仿宋" w:hAnsi="仿宋" w:eastAsia="仿宋" w:cs="宋体"/>
                <w:kern w:val="0"/>
                <w:sz w:val="20"/>
                <w:szCs w:val="20"/>
                <w:lang w:val="en-US" w:eastAsia="zh-CN" w:bidi="ar-SA"/>
              </w:rPr>
            </w:pPr>
            <w:r>
              <w:rPr>
                <w:rFonts w:hint="eastAsia" w:ascii="仿宋" w:hAnsi="仿宋" w:eastAsia="仿宋" w:cs="宋体"/>
                <w:kern w:val="0"/>
                <w:sz w:val="18"/>
                <w:szCs w:val="18"/>
                <w:lang w:val="en-US" w:eastAsia="zh-CN"/>
              </w:rPr>
              <w:t>1.农村计划怀孕夫妇孕前优生健康检查年度目标人群覆盖率达到90%以上，得0.5分，否则不得分。2.免费孕前优生健康检查基本服务内容均按规定进行，得0.5分，否则不得分。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1122" w:type="dxa"/>
            <w:vMerge w:val="restart"/>
            <w:tcBorders>
              <w:tl2br w:val="nil"/>
              <w:tr2bl w:val="nil"/>
            </w:tcBorders>
            <w:vAlign w:val="center"/>
          </w:tcPr>
          <w:p>
            <w:pPr>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产出   （40分）</w:t>
            </w:r>
          </w:p>
        </w:tc>
        <w:tc>
          <w:tcPr>
            <w:tcW w:w="1150" w:type="dxa"/>
            <w:vMerge w:val="restart"/>
            <w:tcBorders>
              <w:tl2br w:val="nil"/>
              <w:tr2bl w:val="nil"/>
            </w:tcBorders>
            <w:vAlign w:val="center"/>
          </w:tcPr>
          <w:p>
            <w:pPr>
              <w:jc w:val="center"/>
              <w:rPr>
                <w:rFonts w:hint="default" w:ascii="仿宋" w:hAnsi="仿宋" w:eastAsia="仿宋" w:cs="宋体"/>
                <w:kern w:val="0"/>
                <w:sz w:val="20"/>
                <w:szCs w:val="20"/>
                <w:lang w:val="en-US" w:eastAsia="zh-CN"/>
              </w:rPr>
            </w:pPr>
            <w:r>
              <w:rPr>
                <w:rFonts w:hint="eastAsia" w:ascii="仿宋" w:hAnsi="仿宋" w:eastAsia="仿宋" w:cs="宋体"/>
                <w:kern w:val="0"/>
                <w:sz w:val="18"/>
                <w:szCs w:val="18"/>
                <w:lang w:eastAsia="zh-CN"/>
              </w:rPr>
              <w:t>老年人健康管理</w:t>
            </w:r>
            <w:r>
              <w:rPr>
                <w:rFonts w:hint="eastAsia" w:ascii="仿宋" w:hAnsi="仿宋" w:eastAsia="仿宋" w:cs="宋体"/>
                <w:kern w:val="0"/>
                <w:sz w:val="18"/>
                <w:szCs w:val="18"/>
                <w:lang w:val="en-US" w:eastAsia="zh-CN"/>
              </w:rPr>
              <w:t xml:space="preserve">  </w:t>
            </w:r>
            <w:r>
              <w:rPr>
                <w:rFonts w:hint="eastAsia" w:ascii="仿宋" w:hAnsi="仿宋" w:eastAsia="仿宋" w:cs="宋体"/>
                <w:kern w:val="0"/>
                <w:sz w:val="18"/>
                <w:szCs w:val="18"/>
                <w:lang w:eastAsia="zh-CN"/>
              </w:rPr>
              <w:t>（</w:t>
            </w:r>
            <w:r>
              <w:rPr>
                <w:rFonts w:hint="eastAsia" w:ascii="仿宋" w:hAnsi="仿宋" w:eastAsia="仿宋" w:cs="宋体"/>
                <w:kern w:val="0"/>
                <w:sz w:val="18"/>
                <w:szCs w:val="18"/>
                <w:lang w:val="en-US" w:eastAsia="zh-CN"/>
              </w:rPr>
              <w:t>3分）</w:t>
            </w: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18"/>
                <w:szCs w:val="18"/>
                <w:lang w:eastAsia="zh-CN"/>
              </w:rPr>
              <w:t>老年人健康管理率</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18"/>
                <w:szCs w:val="18"/>
                <w:lang w:val="en-US" w:eastAsia="zh-CN"/>
              </w:rPr>
              <w:t>2</w:t>
            </w:r>
          </w:p>
        </w:tc>
        <w:tc>
          <w:tcPr>
            <w:tcW w:w="4030"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18"/>
                <w:szCs w:val="18"/>
                <w:lang w:eastAsia="zh-CN"/>
              </w:rPr>
              <w:t>年度辖区内</w:t>
            </w:r>
            <w:r>
              <w:rPr>
                <w:rFonts w:hint="eastAsia" w:ascii="仿宋" w:hAnsi="仿宋" w:eastAsia="仿宋" w:cs="宋体"/>
                <w:kern w:val="0"/>
                <w:sz w:val="18"/>
                <w:szCs w:val="18"/>
                <w:lang w:val="en-US" w:eastAsia="zh-CN"/>
              </w:rPr>
              <w:t>65岁及以上接受健康管理服务的人数，反映老年人健康管理的数量的质量。</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18"/>
                <w:szCs w:val="18"/>
                <w:lang w:eastAsia="zh-CN"/>
              </w:rPr>
              <w:t>计划标准</w:t>
            </w:r>
          </w:p>
        </w:tc>
        <w:tc>
          <w:tcPr>
            <w:tcW w:w="5139"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1.确定辖区内65岁及以上老年人和50岁及以上建档立卡贫困人口数，得0.5分，少确定一项扣0.3分。</w:t>
            </w:r>
          </w:p>
          <w:p>
            <w:pPr>
              <w:widowControl/>
              <w:jc w:val="left"/>
              <w:rPr>
                <w:rFonts w:hint="eastAsia"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2.老年人</w:t>
            </w:r>
            <w:r>
              <w:rPr>
                <w:rFonts w:hint="default" w:ascii="仿宋" w:hAnsi="仿宋" w:eastAsia="仿宋" w:cs="宋体"/>
                <w:kern w:val="0"/>
                <w:sz w:val="16"/>
                <w:szCs w:val="16"/>
                <w:lang w:val="en-US" w:eastAsia="zh-CN"/>
              </w:rPr>
              <w:t>健康管理率≥</w:t>
            </w:r>
            <w:r>
              <w:rPr>
                <w:rFonts w:hint="eastAsia" w:ascii="仿宋" w:hAnsi="仿宋" w:eastAsia="仿宋" w:cs="宋体"/>
                <w:kern w:val="0"/>
                <w:sz w:val="16"/>
                <w:szCs w:val="16"/>
                <w:lang w:val="en-US" w:eastAsia="zh-CN"/>
              </w:rPr>
              <w:t>85</w:t>
            </w:r>
            <w:r>
              <w:rPr>
                <w:rFonts w:hint="default" w:ascii="仿宋" w:hAnsi="仿宋" w:eastAsia="仿宋" w:cs="宋体"/>
                <w:kern w:val="0"/>
                <w:sz w:val="16"/>
                <w:szCs w:val="16"/>
                <w:lang w:val="en-US" w:eastAsia="zh-CN"/>
              </w:rPr>
              <w:t>%</w:t>
            </w:r>
            <w:r>
              <w:rPr>
                <w:rFonts w:hint="eastAsia" w:ascii="仿宋" w:hAnsi="仿宋" w:eastAsia="仿宋" w:cs="宋体"/>
                <w:kern w:val="0"/>
                <w:sz w:val="16"/>
                <w:szCs w:val="16"/>
                <w:lang w:val="en-US" w:eastAsia="zh-CN"/>
              </w:rPr>
              <w:t>，得0.5分，否则不得分。</w:t>
            </w:r>
          </w:p>
          <w:p>
            <w:pPr>
              <w:pStyle w:val="2"/>
              <w:keepNext w:val="0"/>
              <w:keepLines w:val="0"/>
              <w:pageBreakBefore w:val="0"/>
              <w:kinsoku/>
              <w:wordWrap/>
              <w:overflowPunct/>
              <w:topLinePunct w:val="0"/>
              <w:autoSpaceDE/>
              <w:autoSpaceDN/>
              <w:bidi w:val="0"/>
              <w:adjustRightInd/>
              <w:snapToGrid/>
              <w:spacing w:after="0" w:line="240" w:lineRule="auto"/>
              <w:textAlignment w:val="auto"/>
              <w:rPr>
                <w:rFonts w:hint="default"/>
                <w:sz w:val="16"/>
                <w:szCs w:val="16"/>
                <w:lang w:val="en-US" w:eastAsia="zh-CN"/>
              </w:rPr>
            </w:pPr>
            <w:r>
              <w:rPr>
                <w:rFonts w:hint="eastAsia" w:ascii="仿宋" w:hAnsi="仿宋" w:eastAsia="仿宋" w:cs="宋体"/>
                <w:kern w:val="0"/>
                <w:sz w:val="16"/>
                <w:szCs w:val="16"/>
                <w:lang w:val="en-US" w:eastAsia="zh-CN"/>
              </w:rPr>
              <w:t>3.50岁及以上建档立卡贫困人口做到应检尽检，得0.2分，否则不得分。</w:t>
            </w:r>
          </w:p>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16"/>
                <w:szCs w:val="16"/>
                <w:lang w:val="en-US" w:eastAsia="zh-CN"/>
              </w:rPr>
              <w:t>4.老年人健康管理服务项目完整，符合规范要求，得0.8分，否则视项目具体完成情况扣分。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1.164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1122" w:type="dxa"/>
            <w:vMerge w:val="continue"/>
            <w:tcBorders>
              <w:tl2br w:val="nil"/>
              <w:tr2bl w:val="nil"/>
            </w:tcBorders>
            <w:vAlign w:val="center"/>
          </w:tcPr>
          <w:p>
            <w:pPr>
              <w:jc w:val="center"/>
              <w:rPr>
                <w:rFonts w:hint="eastAsia" w:ascii="仿宋" w:hAnsi="仿宋" w:eastAsia="仿宋" w:cs="宋体"/>
                <w:kern w:val="0"/>
                <w:sz w:val="20"/>
                <w:szCs w:val="20"/>
                <w:lang w:val="en-US" w:eastAsia="zh-CN"/>
              </w:rPr>
            </w:pPr>
          </w:p>
        </w:tc>
        <w:tc>
          <w:tcPr>
            <w:tcW w:w="1150" w:type="dxa"/>
            <w:vMerge w:val="continue"/>
            <w:tcBorders>
              <w:tl2br w:val="nil"/>
              <w:tr2bl w:val="nil"/>
            </w:tcBorders>
            <w:vAlign w:val="center"/>
          </w:tcPr>
          <w:p>
            <w:pPr>
              <w:jc w:val="center"/>
              <w:rPr>
                <w:rFonts w:hint="eastAsia" w:ascii="仿宋" w:hAnsi="仿宋" w:eastAsia="仿宋" w:cs="宋体"/>
                <w:kern w:val="0"/>
                <w:sz w:val="18"/>
                <w:szCs w:val="18"/>
                <w:lang w:eastAsia="zh-CN"/>
              </w:rPr>
            </w:pPr>
          </w:p>
        </w:tc>
        <w:tc>
          <w:tcPr>
            <w:tcW w:w="1321" w:type="dxa"/>
            <w:tcBorders>
              <w:tl2br w:val="nil"/>
              <w:tr2bl w:val="nil"/>
            </w:tcBorders>
            <w:shd w:val="clear" w:color="auto" w:fill="auto"/>
            <w:vAlign w:val="center"/>
          </w:tcPr>
          <w:p>
            <w:pPr>
              <w:jc w:val="center"/>
              <w:rPr>
                <w:rFonts w:hint="eastAsia" w:ascii="仿宋" w:hAnsi="仿宋" w:eastAsia="仿宋" w:cs="宋体"/>
                <w:kern w:val="0"/>
                <w:sz w:val="18"/>
                <w:szCs w:val="18"/>
                <w:lang w:eastAsia="zh-CN"/>
              </w:rPr>
            </w:pPr>
            <w:r>
              <w:rPr>
                <w:rFonts w:hint="eastAsia" w:ascii="仿宋" w:hAnsi="仿宋" w:eastAsia="仿宋" w:cs="宋体"/>
                <w:kern w:val="0"/>
                <w:sz w:val="20"/>
                <w:szCs w:val="20"/>
                <w:lang w:val="en-US" w:eastAsia="zh-CN"/>
              </w:rPr>
              <w:t>老年健康与医养结合</w:t>
            </w:r>
          </w:p>
        </w:tc>
        <w:tc>
          <w:tcPr>
            <w:tcW w:w="659" w:type="dxa"/>
            <w:tcBorders>
              <w:tl2br w:val="nil"/>
              <w:tr2bl w:val="nil"/>
            </w:tcBorders>
            <w:shd w:val="clear" w:color="auto" w:fill="auto"/>
            <w:vAlign w:val="center"/>
          </w:tcPr>
          <w:p>
            <w:pPr>
              <w:widowControl/>
              <w:jc w:val="center"/>
              <w:rPr>
                <w:rFonts w:hint="eastAsia" w:ascii="仿宋" w:hAnsi="仿宋" w:eastAsia="仿宋" w:cs="宋体"/>
                <w:kern w:val="0"/>
                <w:sz w:val="18"/>
                <w:szCs w:val="18"/>
                <w:lang w:val="en-US" w:eastAsia="zh-CN"/>
              </w:rPr>
            </w:pPr>
            <w:r>
              <w:rPr>
                <w:rFonts w:hint="eastAsia" w:ascii="仿宋" w:hAnsi="仿宋" w:eastAsia="仿宋" w:cs="宋体"/>
                <w:kern w:val="0"/>
                <w:sz w:val="20"/>
                <w:szCs w:val="20"/>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18"/>
                <w:szCs w:val="18"/>
                <w:lang w:eastAsia="zh-CN"/>
              </w:rPr>
            </w:pPr>
            <w:r>
              <w:rPr>
                <w:rFonts w:hint="eastAsia" w:ascii="仿宋" w:hAnsi="仿宋" w:eastAsia="仿宋" w:cs="宋体"/>
                <w:kern w:val="0"/>
                <w:sz w:val="20"/>
                <w:szCs w:val="20"/>
                <w:lang w:eastAsia="zh-CN"/>
              </w:rPr>
              <w:t>年度辖区内</w:t>
            </w:r>
            <w:r>
              <w:rPr>
                <w:rFonts w:hint="eastAsia" w:ascii="仿宋" w:hAnsi="仿宋" w:eastAsia="仿宋" w:cs="宋体"/>
                <w:kern w:val="0"/>
                <w:sz w:val="20"/>
                <w:szCs w:val="20"/>
                <w:lang w:val="en-US" w:eastAsia="zh-CN"/>
              </w:rPr>
              <w:t>65岁及以上目标人群接受医养结合服务和健康服务的情况，反映和考核老年健康与医养结合服务的数量和质量。</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18"/>
                <w:szCs w:val="18"/>
                <w:lang w:eastAsia="zh-CN"/>
              </w:rPr>
            </w:pPr>
            <w:r>
              <w:rPr>
                <w:rFonts w:hint="eastAsia" w:ascii="仿宋" w:hAnsi="仿宋" w:eastAsia="仿宋" w:cs="宋体"/>
                <w:kern w:val="0"/>
                <w:sz w:val="20"/>
                <w:szCs w:val="20"/>
                <w:lang w:val="en-US"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eastAsia" w:ascii="仿宋" w:hAnsi="仿宋" w:eastAsia="仿宋" w:cs="宋体"/>
                <w:kern w:val="0"/>
                <w:sz w:val="16"/>
                <w:szCs w:val="16"/>
                <w:lang w:val="en-US" w:eastAsia="zh-CN"/>
              </w:rPr>
            </w:pPr>
            <w:r>
              <w:rPr>
                <w:rFonts w:hint="eastAsia" w:ascii="仿宋" w:hAnsi="仿宋" w:eastAsia="仿宋" w:cs="宋体"/>
                <w:kern w:val="0"/>
                <w:sz w:val="20"/>
                <w:szCs w:val="20"/>
                <w:highlight w:val="none"/>
                <w:lang w:val="en-US" w:eastAsia="zh-CN"/>
              </w:rPr>
              <w:t>1.65岁及以上老年人医养结合服务率</w:t>
            </w:r>
            <w:r>
              <w:rPr>
                <w:rFonts w:hint="default" w:ascii="仿宋" w:hAnsi="仿宋" w:eastAsia="仿宋" w:cs="宋体"/>
                <w:kern w:val="0"/>
                <w:sz w:val="20"/>
                <w:szCs w:val="20"/>
                <w:highlight w:val="none"/>
                <w:lang w:val="en-US" w:eastAsia="zh-CN"/>
              </w:rPr>
              <w:t>≥</w:t>
            </w:r>
            <w:r>
              <w:rPr>
                <w:rFonts w:hint="eastAsia" w:ascii="仿宋" w:hAnsi="仿宋" w:eastAsia="仿宋" w:cs="宋体"/>
                <w:kern w:val="0"/>
                <w:sz w:val="20"/>
                <w:szCs w:val="20"/>
                <w:highlight w:val="none"/>
                <w:lang w:val="en-US" w:eastAsia="zh-CN"/>
              </w:rPr>
              <w:t>60%，得0.5分，否则不得分；2.65岁以上失能老年人健康服务率</w:t>
            </w:r>
            <w:r>
              <w:rPr>
                <w:rFonts w:hint="default" w:ascii="仿宋" w:hAnsi="仿宋" w:eastAsia="仿宋" w:cs="宋体"/>
                <w:kern w:val="0"/>
                <w:sz w:val="20"/>
                <w:szCs w:val="20"/>
                <w:highlight w:val="none"/>
                <w:lang w:val="en-US" w:eastAsia="zh-CN"/>
              </w:rPr>
              <w:t>≥</w:t>
            </w:r>
            <w:r>
              <w:rPr>
                <w:rFonts w:hint="eastAsia" w:ascii="仿宋" w:hAnsi="仿宋" w:eastAsia="仿宋" w:cs="宋体"/>
                <w:kern w:val="0"/>
                <w:sz w:val="20"/>
                <w:szCs w:val="20"/>
                <w:highlight w:val="none"/>
                <w:lang w:val="en-US" w:eastAsia="zh-CN"/>
              </w:rPr>
              <w:t>60 %，得0.5分，否则不得分；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2" w:type="dxa"/>
            <w:vMerge w:val="continue"/>
            <w:tcBorders>
              <w:tl2br w:val="nil"/>
              <w:tr2bl w:val="nil"/>
            </w:tcBorders>
            <w:vAlign w:val="center"/>
          </w:tcPr>
          <w:p>
            <w:pPr>
              <w:jc w:val="center"/>
              <w:rPr>
                <w:rFonts w:ascii="仿宋" w:hAnsi="仿宋" w:eastAsia="仿宋" w:cs="宋体"/>
                <w:kern w:val="0"/>
                <w:sz w:val="20"/>
                <w:szCs w:val="20"/>
              </w:rPr>
            </w:pPr>
          </w:p>
        </w:tc>
        <w:tc>
          <w:tcPr>
            <w:tcW w:w="1150" w:type="dxa"/>
            <w:vMerge w:val="restart"/>
            <w:tcBorders>
              <w:tl2br w:val="nil"/>
              <w:tr2bl w:val="nil"/>
            </w:tcBorders>
            <w:vAlign w:val="center"/>
          </w:tcPr>
          <w:p>
            <w:pPr>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eastAsia="zh-CN"/>
              </w:rPr>
              <w:t>慢性病健康管理</w:t>
            </w:r>
            <w:r>
              <w:rPr>
                <w:rFonts w:hint="eastAsia" w:ascii="仿宋" w:hAnsi="仿宋" w:eastAsia="仿宋" w:cs="宋体"/>
                <w:kern w:val="0"/>
                <w:sz w:val="20"/>
                <w:szCs w:val="20"/>
                <w:lang w:val="en-US" w:eastAsia="zh-CN"/>
              </w:rPr>
              <w:t xml:space="preserve">  </w:t>
            </w:r>
            <w:r>
              <w:rPr>
                <w:rFonts w:hint="eastAsia" w:ascii="仿宋" w:hAnsi="仿宋" w:eastAsia="仿宋" w:cs="宋体"/>
                <w:kern w:val="0"/>
                <w:sz w:val="20"/>
                <w:szCs w:val="20"/>
                <w:lang w:eastAsia="zh-CN"/>
              </w:rPr>
              <w:t>（</w:t>
            </w:r>
            <w:r>
              <w:rPr>
                <w:rFonts w:hint="eastAsia" w:ascii="仿宋" w:hAnsi="仿宋" w:eastAsia="仿宋" w:cs="宋体"/>
                <w:kern w:val="0"/>
                <w:sz w:val="20"/>
                <w:szCs w:val="20"/>
                <w:lang w:val="en-US" w:eastAsia="zh-CN"/>
              </w:rPr>
              <w:t>4分）</w:t>
            </w: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高血压患者健康管理率</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年度辖区内</w:t>
            </w:r>
            <w:r>
              <w:rPr>
                <w:rFonts w:hint="eastAsia" w:ascii="仿宋" w:hAnsi="仿宋" w:eastAsia="仿宋" w:cs="宋体"/>
                <w:kern w:val="0"/>
                <w:sz w:val="20"/>
                <w:szCs w:val="20"/>
                <w:lang w:val="en-US" w:eastAsia="zh-CN"/>
              </w:rPr>
              <w:t>35岁及以上原发性高血压患者接受健康管理服务的人数，反映高血压患者健康管理的数量。</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5139"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高血压患者管理41391人以，规范管理率≥65%，得2分，否则不得分。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1.086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122" w:type="dxa"/>
            <w:vMerge w:val="continue"/>
            <w:tcBorders>
              <w:tl2br w:val="nil"/>
              <w:tr2bl w:val="nil"/>
            </w:tcBorders>
            <w:vAlign w:val="center"/>
          </w:tcPr>
          <w:p>
            <w:pPr>
              <w:jc w:val="center"/>
              <w:rPr>
                <w:rFonts w:ascii="仿宋" w:hAnsi="仿宋" w:eastAsia="仿宋" w:cs="宋体"/>
                <w:kern w:val="0"/>
                <w:sz w:val="20"/>
                <w:szCs w:val="20"/>
              </w:rPr>
            </w:pPr>
          </w:p>
        </w:tc>
        <w:tc>
          <w:tcPr>
            <w:tcW w:w="1150" w:type="dxa"/>
            <w:vMerge w:val="continue"/>
            <w:tcBorders>
              <w:tl2br w:val="nil"/>
              <w:tr2bl w:val="nil"/>
            </w:tcBorders>
            <w:vAlign w:val="center"/>
          </w:tcPr>
          <w:p>
            <w:pPr>
              <w:jc w:val="center"/>
              <w:rPr>
                <w:rFonts w:hint="eastAsia" w:ascii="仿宋" w:hAnsi="仿宋" w:eastAsia="仿宋" w:cs="宋体"/>
                <w:kern w:val="0"/>
                <w:sz w:val="20"/>
                <w:szCs w:val="20"/>
                <w:lang w:eastAsia="zh-CN"/>
              </w:rPr>
            </w:pPr>
          </w:p>
        </w:tc>
        <w:tc>
          <w:tcPr>
            <w:tcW w:w="1321"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2型糖尿病患者健康管理率</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年度辖区内</w:t>
            </w:r>
            <w:r>
              <w:rPr>
                <w:rFonts w:hint="eastAsia" w:ascii="仿宋" w:hAnsi="仿宋" w:eastAsia="仿宋" w:cs="宋体"/>
                <w:kern w:val="0"/>
                <w:sz w:val="20"/>
                <w:szCs w:val="20"/>
                <w:lang w:val="en-US" w:eastAsia="zh-CN"/>
              </w:rPr>
              <w:t>35岁及以上2型糖尿病患者接受健康管理服务的人数，反映2型糖尿病患者健康管理的数量。</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5139"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default" w:ascii="仿宋" w:hAnsi="仿宋" w:eastAsia="仿宋" w:cs="宋体"/>
                <w:kern w:val="0"/>
                <w:sz w:val="16"/>
                <w:szCs w:val="16"/>
                <w:lang w:val="en-US" w:eastAsia="zh-CN"/>
              </w:rPr>
              <w:t>2型糖尿病患者管理</w:t>
            </w:r>
            <w:r>
              <w:rPr>
                <w:rFonts w:hint="eastAsia" w:ascii="仿宋" w:hAnsi="仿宋" w:eastAsia="仿宋" w:cs="宋体"/>
                <w:kern w:val="0"/>
                <w:sz w:val="16"/>
                <w:szCs w:val="16"/>
                <w:lang w:val="en-US" w:eastAsia="zh-CN"/>
              </w:rPr>
              <w:t>13930</w:t>
            </w:r>
            <w:r>
              <w:rPr>
                <w:rFonts w:hint="default" w:ascii="仿宋" w:hAnsi="仿宋" w:eastAsia="仿宋" w:cs="宋体"/>
                <w:kern w:val="0"/>
                <w:sz w:val="16"/>
                <w:szCs w:val="16"/>
                <w:lang w:val="en-US" w:eastAsia="zh-CN"/>
              </w:rPr>
              <w:t>人</w:t>
            </w:r>
            <w:r>
              <w:rPr>
                <w:rFonts w:hint="eastAsia" w:ascii="仿宋" w:hAnsi="仿宋" w:eastAsia="仿宋" w:cs="宋体"/>
                <w:kern w:val="0"/>
                <w:sz w:val="16"/>
                <w:szCs w:val="16"/>
                <w:lang w:val="en-US" w:eastAsia="zh-CN"/>
              </w:rPr>
              <w:t>以上</w:t>
            </w:r>
            <w:r>
              <w:rPr>
                <w:rFonts w:hint="default" w:ascii="仿宋" w:hAnsi="仿宋" w:eastAsia="仿宋" w:cs="宋体"/>
                <w:kern w:val="0"/>
                <w:sz w:val="16"/>
                <w:szCs w:val="16"/>
                <w:lang w:val="en-US" w:eastAsia="zh-CN"/>
              </w:rPr>
              <w:t>，规范管理率≥</w:t>
            </w:r>
            <w:r>
              <w:rPr>
                <w:rFonts w:hint="eastAsia" w:ascii="仿宋" w:hAnsi="仿宋" w:eastAsia="仿宋" w:cs="宋体"/>
                <w:kern w:val="0"/>
                <w:sz w:val="16"/>
                <w:szCs w:val="16"/>
                <w:lang w:val="en-US" w:eastAsia="zh-CN"/>
              </w:rPr>
              <w:t>65</w:t>
            </w:r>
            <w:r>
              <w:rPr>
                <w:rFonts w:hint="default" w:ascii="仿宋" w:hAnsi="仿宋" w:eastAsia="仿宋" w:cs="宋体"/>
                <w:kern w:val="0"/>
                <w:sz w:val="16"/>
                <w:szCs w:val="16"/>
                <w:lang w:val="en-US" w:eastAsia="zh-CN"/>
              </w:rPr>
              <w:t>%</w:t>
            </w:r>
            <w:r>
              <w:rPr>
                <w:rFonts w:hint="eastAsia" w:ascii="仿宋" w:hAnsi="仿宋" w:eastAsia="仿宋" w:cs="宋体"/>
                <w:kern w:val="0"/>
                <w:sz w:val="16"/>
                <w:szCs w:val="16"/>
                <w:lang w:val="en-US" w:eastAsia="zh-CN"/>
              </w:rPr>
              <w:t>，得2分，否则不得分。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1.069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122" w:type="dxa"/>
            <w:vMerge w:val="continue"/>
            <w:tcBorders>
              <w:tl2br w:val="nil"/>
              <w:tr2bl w:val="nil"/>
            </w:tcBorders>
            <w:vAlign w:val="center"/>
          </w:tcPr>
          <w:p>
            <w:pPr>
              <w:jc w:val="center"/>
              <w:rPr>
                <w:rFonts w:ascii="仿宋" w:hAnsi="仿宋" w:eastAsia="仿宋" w:cs="宋体"/>
                <w:kern w:val="0"/>
                <w:sz w:val="20"/>
                <w:szCs w:val="20"/>
              </w:rPr>
            </w:pPr>
          </w:p>
        </w:tc>
        <w:tc>
          <w:tcPr>
            <w:tcW w:w="1150" w:type="dxa"/>
            <w:tcBorders>
              <w:tl2br w:val="nil"/>
              <w:tr2bl w:val="nil"/>
            </w:tcBorders>
            <w:vAlign w:val="center"/>
          </w:tcPr>
          <w:p>
            <w:pPr>
              <w:jc w:val="center"/>
              <w:rPr>
                <w:rFonts w:hint="default" w:ascii="仿宋" w:hAnsi="仿宋" w:eastAsia="仿宋" w:cs="宋体"/>
                <w:kern w:val="0"/>
                <w:sz w:val="20"/>
                <w:szCs w:val="20"/>
                <w:lang w:val="en-US" w:eastAsia="zh-CN"/>
              </w:rPr>
            </w:pPr>
            <w:r>
              <w:rPr>
                <w:rFonts w:hint="eastAsia" w:ascii="仿宋" w:hAnsi="仿宋" w:eastAsia="仿宋" w:cs="宋体"/>
                <w:kern w:val="0"/>
                <w:sz w:val="18"/>
                <w:szCs w:val="18"/>
                <w:lang w:eastAsia="zh-CN"/>
              </w:rPr>
              <w:t>严重精神障碍患者管理</w:t>
            </w:r>
            <w:r>
              <w:rPr>
                <w:rFonts w:hint="eastAsia" w:ascii="仿宋" w:hAnsi="仿宋" w:eastAsia="仿宋" w:cs="宋体"/>
                <w:kern w:val="0"/>
                <w:sz w:val="18"/>
                <w:szCs w:val="18"/>
                <w:lang w:val="en-US" w:eastAsia="zh-CN"/>
              </w:rPr>
              <w:t xml:space="preserve">    </w:t>
            </w:r>
            <w:r>
              <w:rPr>
                <w:rFonts w:hint="eastAsia" w:ascii="仿宋" w:hAnsi="仿宋" w:eastAsia="仿宋" w:cs="宋体"/>
                <w:kern w:val="0"/>
                <w:sz w:val="18"/>
                <w:szCs w:val="18"/>
                <w:lang w:eastAsia="zh-CN"/>
              </w:rPr>
              <w:t>（</w:t>
            </w:r>
            <w:r>
              <w:rPr>
                <w:rFonts w:hint="eastAsia" w:ascii="仿宋" w:hAnsi="仿宋" w:eastAsia="仿宋" w:cs="宋体"/>
                <w:kern w:val="0"/>
                <w:sz w:val="18"/>
                <w:szCs w:val="18"/>
                <w:lang w:val="en-US" w:eastAsia="zh-CN"/>
              </w:rPr>
              <w:t>1分）</w:t>
            </w: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eastAsia="zh-CN"/>
              </w:rPr>
              <w:t>严重精神障碍患者管理率</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年度辖区内</w:t>
            </w:r>
            <w:r>
              <w:rPr>
                <w:rFonts w:hint="eastAsia" w:ascii="仿宋" w:hAnsi="仿宋" w:eastAsia="仿宋" w:cs="宋体"/>
                <w:kern w:val="0"/>
                <w:sz w:val="20"/>
                <w:szCs w:val="20"/>
                <w:lang w:val="en-US" w:eastAsia="zh-CN"/>
              </w:rPr>
              <w:t>常住居民中诊断明确，在家中居住的严重精神障碍患者是否纳入规范管理</w:t>
            </w:r>
            <w:r>
              <w:rPr>
                <w:rFonts w:hint="eastAsia" w:ascii="仿宋" w:hAnsi="仿宋" w:eastAsia="仿宋" w:cs="宋体"/>
                <w:kern w:val="0"/>
                <w:sz w:val="20"/>
                <w:szCs w:val="20"/>
                <w:lang w:eastAsia="zh-CN"/>
              </w:rPr>
              <w:t>，反映</w:t>
            </w:r>
            <w:r>
              <w:rPr>
                <w:rFonts w:hint="eastAsia" w:ascii="仿宋" w:hAnsi="仿宋" w:eastAsia="仿宋" w:cs="宋体"/>
                <w:kern w:val="0"/>
                <w:sz w:val="20"/>
                <w:szCs w:val="20"/>
                <w:lang w:val="en-US" w:eastAsia="zh-CN"/>
              </w:rPr>
              <w:t>和考核</w:t>
            </w:r>
            <w:r>
              <w:rPr>
                <w:rFonts w:hint="eastAsia" w:ascii="仿宋" w:hAnsi="仿宋" w:eastAsia="仿宋" w:cs="宋体"/>
                <w:kern w:val="0"/>
                <w:sz w:val="20"/>
                <w:szCs w:val="20"/>
                <w:lang w:eastAsia="zh-CN"/>
              </w:rPr>
              <w:t>严重精神障碍患者管理服务的数量</w:t>
            </w:r>
            <w:r>
              <w:rPr>
                <w:rFonts w:hint="eastAsia" w:ascii="仿宋" w:hAnsi="仿宋" w:eastAsia="仿宋" w:cs="宋体"/>
                <w:kern w:val="0"/>
                <w:sz w:val="20"/>
                <w:szCs w:val="20"/>
                <w:lang w:val="en-US" w:eastAsia="zh-CN"/>
              </w:rPr>
              <w:t>和质量</w:t>
            </w:r>
            <w:r>
              <w:rPr>
                <w:rFonts w:hint="eastAsia" w:ascii="仿宋" w:hAnsi="仿宋" w:eastAsia="仿宋" w:cs="宋体"/>
                <w:kern w:val="0"/>
                <w:sz w:val="20"/>
                <w:szCs w:val="20"/>
                <w:lang w:eastAsia="zh-CN"/>
              </w:rPr>
              <w:t>。</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r>
              <w:rPr>
                <w:rFonts w:hint="default" w:ascii="仿宋" w:hAnsi="仿宋" w:eastAsia="仿宋" w:cs="宋体"/>
                <w:kern w:val="0"/>
                <w:sz w:val="20"/>
                <w:szCs w:val="20"/>
                <w:lang w:val="en-US" w:eastAsia="zh-CN"/>
              </w:rPr>
              <w:t>规范管理率≥8</w:t>
            </w:r>
            <w:r>
              <w:rPr>
                <w:rFonts w:hint="eastAsia" w:ascii="仿宋" w:hAnsi="仿宋" w:eastAsia="仿宋" w:cs="宋体"/>
                <w:kern w:val="0"/>
                <w:sz w:val="20"/>
                <w:szCs w:val="20"/>
                <w:lang w:val="en-US" w:eastAsia="zh-CN"/>
              </w:rPr>
              <w:t>0%</w:t>
            </w:r>
            <w:r>
              <w:rPr>
                <w:rFonts w:hint="default" w:ascii="仿宋" w:hAnsi="仿宋" w:eastAsia="仿宋" w:cs="宋体"/>
                <w:kern w:val="0"/>
                <w:sz w:val="20"/>
                <w:szCs w:val="20"/>
                <w:highlight w:val="none"/>
                <w:lang w:val="en-US" w:eastAsia="zh-CN"/>
              </w:rPr>
              <w:t>，</w:t>
            </w:r>
            <w:r>
              <w:rPr>
                <w:rFonts w:hint="eastAsia" w:ascii="仿宋" w:hAnsi="仿宋" w:eastAsia="仿宋" w:cs="宋体"/>
                <w:kern w:val="0"/>
                <w:sz w:val="20"/>
                <w:szCs w:val="20"/>
                <w:highlight w:val="none"/>
                <w:lang w:val="en-US" w:eastAsia="zh-CN"/>
              </w:rPr>
              <w:t>得0.5分，否则不得分；</w:t>
            </w:r>
            <w:r>
              <w:rPr>
                <w:rFonts w:hint="eastAsia" w:ascii="仿宋" w:hAnsi="仿宋" w:eastAsia="仿宋" w:cs="宋体"/>
                <w:kern w:val="0"/>
                <w:sz w:val="20"/>
                <w:szCs w:val="20"/>
                <w:lang w:val="en-US" w:eastAsia="zh-CN"/>
              </w:rPr>
              <w:t>2</w:t>
            </w:r>
            <w:r>
              <w:rPr>
                <w:rFonts w:hint="eastAsia" w:ascii="仿宋" w:hAnsi="仿宋" w:eastAsia="仿宋" w:cs="宋体"/>
                <w:kern w:val="0"/>
                <w:sz w:val="20"/>
                <w:szCs w:val="20"/>
                <w:highlight w:val="none"/>
                <w:lang w:val="en-US" w:eastAsia="zh-CN"/>
              </w:rPr>
              <w:t>.</w:t>
            </w:r>
            <w:r>
              <w:rPr>
                <w:rFonts w:hint="default" w:ascii="仿宋" w:hAnsi="仿宋" w:eastAsia="仿宋" w:cs="宋体"/>
                <w:kern w:val="0"/>
                <w:sz w:val="20"/>
                <w:szCs w:val="20"/>
                <w:highlight w:val="none"/>
                <w:lang w:val="en-US" w:eastAsia="zh-CN"/>
              </w:rPr>
              <w:t>服药率≥</w:t>
            </w:r>
            <w:r>
              <w:rPr>
                <w:rFonts w:hint="eastAsia" w:ascii="仿宋" w:hAnsi="仿宋" w:eastAsia="仿宋" w:cs="宋体"/>
                <w:kern w:val="0"/>
                <w:sz w:val="20"/>
                <w:szCs w:val="20"/>
                <w:highlight w:val="none"/>
                <w:lang w:val="en-US" w:eastAsia="zh-CN"/>
              </w:rPr>
              <w:t>70</w:t>
            </w:r>
            <w:r>
              <w:rPr>
                <w:rFonts w:hint="default" w:ascii="仿宋" w:hAnsi="仿宋" w:eastAsia="仿宋" w:cs="宋体"/>
                <w:kern w:val="0"/>
                <w:sz w:val="20"/>
                <w:szCs w:val="20"/>
                <w:highlight w:val="none"/>
                <w:lang w:val="en-US" w:eastAsia="zh-CN"/>
              </w:rPr>
              <w:t>%</w:t>
            </w:r>
            <w:r>
              <w:rPr>
                <w:rFonts w:hint="eastAsia" w:ascii="仿宋" w:hAnsi="仿宋" w:eastAsia="仿宋" w:cs="宋体"/>
                <w:kern w:val="0"/>
                <w:sz w:val="20"/>
                <w:szCs w:val="20"/>
                <w:lang w:val="en-US" w:eastAsia="zh-CN"/>
              </w:rPr>
              <w:t>，得0.5分，否则不得分。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0.864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122" w:type="dxa"/>
            <w:vMerge w:val="restart"/>
            <w:tcBorders>
              <w:tl2br w:val="nil"/>
              <w:tr2bl w:val="nil"/>
            </w:tcBorders>
            <w:vAlign w:val="center"/>
          </w:tcPr>
          <w:p>
            <w:pPr>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产出   （40分）</w:t>
            </w:r>
          </w:p>
        </w:tc>
        <w:tc>
          <w:tcPr>
            <w:tcW w:w="1150" w:type="dxa"/>
            <w:tcBorders>
              <w:tl2br w:val="nil"/>
              <w:tr2bl w:val="nil"/>
            </w:tcBorders>
            <w:vAlign w:val="center"/>
          </w:tcPr>
          <w:p>
            <w:pPr>
              <w:jc w:val="center"/>
              <w:rPr>
                <w:rFonts w:hint="default" w:ascii="仿宋" w:hAnsi="仿宋" w:eastAsia="仿宋" w:cs="宋体"/>
                <w:kern w:val="0"/>
                <w:sz w:val="20"/>
                <w:szCs w:val="20"/>
                <w:lang w:val="en-US" w:eastAsia="zh-CN"/>
              </w:rPr>
            </w:pPr>
            <w:r>
              <w:rPr>
                <w:rFonts w:hint="eastAsia" w:ascii="仿宋" w:hAnsi="仿宋" w:eastAsia="仿宋" w:cs="宋体"/>
                <w:kern w:val="0"/>
                <w:sz w:val="18"/>
                <w:szCs w:val="18"/>
                <w:lang w:eastAsia="zh-CN"/>
              </w:rPr>
              <w:t>结核病患者健康管理（</w:t>
            </w:r>
            <w:r>
              <w:rPr>
                <w:rFonts w:hint="eastAsia" w:ascii="仿宋" w:hAnsi="仿宋" w:eastAsia="仿宋" w:cs="宋体"/>
                <w:kern w:val="0"/>
                <w:sz w:val="18"/>
                <w:szCs w:val="18"/>
                <w:lang w:val="en-US" w:eastAsia="zh-CN"/>
              </w:rPr>
              <w:t>1分）</w:t>
            </w: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结核病患者健康管理</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年度辖区内</w:t>
            </w:r>
            <w:r>
              <w:rPr>
                <w:rFonts w:hint="eastAsia" w:ascii="仿宋" w:hAnsi="仿宋" w:eastAsia="仿宋" w:cs="宋体"/>
                <w:kern w:val="0"/>
                <w:sz w:val="20"/>
                <w:szCs w:val="20"/>
                <w:lang w:val="en-US" w:eastAsia="zh-CN"/>
              </w:rPr>
              <w:t>确诊的常住肺结核患者，是否进行了及时规范化的管理，</w:t>
            </w:r>
            <w:r>
              <w:rPr>
                <w:rFonts w:hint="eastAsia" w:ascii="仿宋" w:hAnsi="仿宋" w:eastAsia="仿宋" w:cs="宋体"/>
                <w:kern w:val="0"/>
                <w:sz w:val="20"/>
                <w:szCs w:val="20"/>
                <w:lang w:eastAsia="zh-CN"/>
              </w:rPr>
              <w:t>反映</w:t>
            </w:r>
            <w:r>
              <w:rPr>
                <w:rFonts w:hint="eastAsia" w:ascii="仿宋" w:hAnsi="仿宋" w:eastAsia="仿宋" w:cs="宋体"/>
                <w:kern w:val="0"/>
                <w:sz w:val="20"/>
                <w:szCs w:val="20"/>
                <w:lang w:val="en-US" w:eastAsia="zh-CN"/>
              </w:rPr>
              <w:t>和考核</w:t>
            </w:r>
            <w:r>
              <w:rPr>
                <w:rFonts w:hint="eastAsia" w:ascii="仿宋" w:hAnsi="仿宋" w:eastAsia="仿宋" w:cs="宋体"/>
                <w:kern w:val="0"/>
                <w:sz w:val="20"/>
                <w:szCs w:val="20"/>
                <w:lang w:eastAsia="zh-CN"/>
              </w:rPr>
              <w:t>结核病患者管理服务的数量</w:t>
            </w:r>
            <w:r>
              <w:rPr>
                <w:rFonts w:hint="eastAsia" w:ascii="仿宋" w:hAnsi="仿宋" w:eastAsia="仿宋" w:cs="宋体"/>
                <w:kern w:val="0"/>
                <w:sz w:val="20"/>
                <w:szCs w:val="20"/>
                <w:lang w:val="en-US" w:eastAsia="zh-CN"/>
              </w:rPr>
              <w:t>和质量</w:t>
            </w:r>
            <w:r>
              <w:rPr>
                <w:rFonts w:hint="eastAsia" w:ascii="仿宋" w:hAnsi="仿宋" w:eastAsia="仿宋" w:cs="宋体"/>
                <w:kern w:val="0"/>
                <w:sz w:val="20"/>
                <w:szCs w:val="20"/>
                <w:lang w:eastAsia="zh-CN"/>
              </w:rPr>
              <w:t>。</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5139" w:type="dxa"/>
            <w:tcBorders>
              <w:tl2br w:val="nil"/>
              <w:tr2bl w:val="nil"/>
            </w:tcBorders>
            <w:shd w:val="clear" w:color="auto" w:fill="auto"/>
            <w:vAlign w:val="center"/>
          </w:tcPr>
          <w:p>
            <w:pPr>
              <w:widowControl/>
              <w:numPr>
                <w:ilvl w:val="0"/>
                <w:numId w:val="0"/>
              </w:numPr>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1.肺结核患者健康管理率</w:t>
            </w:r>
            <w:r>
              <w:rPr>
                <w:rFonts w:hint="default" w:ascii="仿宋" w:hAnsi="仿宋" w:eastAsia="仿宋" w:cs="宋体"/>
                <w:kern w:val="0"/>
                <w:sz w:val="20"/>
                <w:szCs w:val="20"/>
                <w:lang w:val="en-US" w:eastAsia="zh-CN"/>
              </w:rPr>
              <w:t>≥90%</w:t>
            </w:r>
            <w:r>
              <w:rPr>
                <w:rFonts w:hint="eastAsia" w:ascii="仿宋" w:hAnsi="仿宋" w:eastAsia="仿宋" w:cs="宋体"/>
                <w:kern w:val="0"/>
                <w:sz w:val="20"/>
                <w:szCs w:val="20"/>
                <w:lang w:val="en-US" w:eastAsia="zh-CN"/>
              </w:rPr>
              <w:t>，得0.5分，否则不得分。</w:t>
            </w:r>
          </w:p>
          <w:p>
            <w:pPr>
              <w:widowControl/>
              <w:numPr>
                <w:ilvl w:val="0"/>
                <w:numId w:val="0"/>
              </w:numPr>
              <w:ind w:left="0" w:leftChars="0" w:firstLine="0" w:firstLineChars="0"/>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2.肺结核患者规则服药率</w:t>
            </w:r>
            <w:r>
              <w:rPr>
                <w:rFonts w:hint="default" w:ascii="仿宋" w:hAnsi="仿宋" w:eastAsia="仿宋" w:cs="宋体"/>
                <w:kern w:val="0"/>
                <w:sz w:val="20"/>
                <w:szCs w:val="20"/>
                <w:lang w:val="en-US" w:eastAsia="zh-CN"/>
              </w:rPr>
              <w:t>≥90%</w:t>
            </w:r>
            <w:r>
              <w:rPr>
                <w:rFonts w:hint="eastAsia" w:ascii="仿宋" w:hAnsi="仿宋" w:eastAsia="仿宋" w:cs="宋体"/>
                <w:kern w:val="0"/>
                <w:sz w:val="20"/>
                <w:szCs w:val="20"/>
                <w:lang w:val="en-US" w:eastAsia="zh-CN"/>
              </w:rPr>
              <w:t>， 得0.5分，否则不得分。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122" w:type="dxa"/>
            <w:vMerge w:val="continue"/>
            <w:tcBorders>
              <w:tl2br w:val="nil"/>
              <w:tr2bl w:val="nil"/>
            </w:tcBorders>
            <w:vAlign w:val="center"/>
          </w:tcPr>
          <w:p>
            <w:pPr>
              <w:jc w:val="center"/>
              <w:rPr>
                <w:rFonts w:hint="default" w:ascii="仿宋" w:hAnsi="仿宋" w:eastAsia="仿宋" w:cs="宋体"/>
                <w:kern w:val="0"/>
                <w:sz w:val="20"/>
                <w:szCs w:val="20"/>
                <w:lang w:val="en-US" w:eastAsia="zh-CN"/>
              </w:rPr>
            </w:pPr>
          </w:p>
        </w:tc>
        <w:tc>
          <w:tcPr>
            <w:tcW w:w="1150" w:type="dxa"/>
            <w:vMerge w:val="restart"/>
            <w:tcBorders>
              <w:tl2br w:val="nil"/>
              <w:tr2bl w:val="nil"/>
            </w:tcBorders>
            <w:vAlign w:val="center"/>
          </w:tcPr>
          <w:p>
            <w:pPr>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eastAsia="zh-CN"/>
              </w:rPr>
              <w:t>中医药健康管理</w:t>
            </w:r>
            <w:r>
              <w:rPr>
                <w:rFonts w:hint="eastAsia" w:ascii="仿宋" w:hAnsi="仿宋" w:eastAsia="仿宋" w:cs="宋体"/>
                <w:kern w:val="0"/>
                <w:sz w:val="20"/>
                <w:szCs w:val="20"/>
                <w:lang w:val="en-US" w:eastAsia="zh-CN"/>
              </w:rPr>
              <w:t xml:space="preserve">   </w:t>
            </w:r>
            <w:r>
              <w:rPr>
                <w:rFonts w:hint="eastAsia" w:ascii="仿宋" w:hAnsi="仿宋" w:eastAsia="仿宋" w:cs="宋体"/>
                <w:kern w:val="0"/>
                <w:sz w:val="20"/>
                <w:szCs w:val="20"/>
                <w:lang w:eastAsia="zh-CN"/>
              </w:rPr>
              <w:t>（</w:t>
            </w:r>
            <w:r>
              <w:rPr>
                <w:rFonts w:hint="eastAsia" w:ascii="仿宋" w:hAnsi="仿宋" w:eastAsia="仿宋" w:cs="宋体"/>
                <w:kern w:val="0"/>
                <w:sz w:val="20"/>
                <w:szCs w:val="20"/>
                <w:lang w:val="en-US" w:eastAsia="zh-CN"/>
              </w:rPr>
              <w:t>2分）</w:t>
            </w: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老年人中医药健康管理率</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p>
        </w:tc>
        <w:tc>
          <w:tcPr>
            <w:tcW w:w="4030"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eastAsia="zh-CN"/>
              </w:rPr>
              <w:t>年度辖区内</w:t>
            </w:r>
            <w:r>
              <w:rPr>
                <w:rFonts w:hint="eastAsia" w:ascii="仿宋" w:hAnsi="仿宋" w:eastAsia="仿宋" w:cs="宋体"/>
                <w:kern w:val="0"/>
                <w:sz w:val="20"/>
                <w:szCs w:val="20"/>
                <w:lang w:val="en-US" w:eastAsia="zh-CN"/>
              </w:rPr>
              <w:t>65岁及以上常住居民接受中医药健康管理服务的人数，反映和考核老年人中医药服务的数量的质量。</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年内65岁以上</w:t>
            </w:r>
            <w:r>
              <w:rPr>
                <w:rFonts w:hint="default" w:ascii="仿宋" w:hAnsi="仿宋" w:eastAsia="仿宋" w:cs="宋体"/>
                <w:kern w:val="0"/>
                <w:sz w:val="20"/>
                <w:szCs w:val="20"/>
                <w:lang w:val="en-US" w:eastAsia="zh-CN"/>
              </w:rPr>
              <w:t>老年人</w:t>
            </w:r>
            <w:r>
              <w:rPr>
                <w:rFonts w:hint="eastAsia" w:ascii="仿宋" w:hAnsi="仿宋" w:eastAsia="仿宋" w:cs="宋体"/>
                <w:kern w:val="0"/>
                <w:sz w:val="20"/>
                <w:szCs w:val="20"/>
                <w:lang w:val="en-US" w:eastAsia="zh-CN"/>
              </w:rPr>
              <w:t>接受中医药</w:t>
            </w:r>
            <w:r>
              <w:rPr>
                <w:rFonts w:hint="default" w:ascii="仿宋" w:hAnsi="仿宋" w:eastAsia="仿宋" w:cs="宋体"/>
                <w:kern w:val="0"/>
                <w:sz w:val="20"/>
                <w:szCs w:val="20"/>
                <w:lang w:val="en-US" w:eastAsia="zh-CN"/>
              </w:rPr>
              <w:t>健康管理服务率≥</w:t>
            </w:r>
            <w:r>
              <w:rPr>
                <w:rFonts w:hint="eastAsia" w:ascii="仿宋" w:hAnsi="仿宋" w:eastAsia="仿宋" w:cs="宋体"/>
                <w:kern w:val="0"/>
                <w:sz w:val="20"/>
                <w:szCs w:val="20"/>
                <w:lang w:val="en-US" w:eastAsia="zh-CN"/>
              </w:rPr>
              <w:t>80</w:t>
            </w:r>
            <w:r>
              <w:rPr>
                <w:rFonts w:hint="default" w:ascii="仿宋" w:hAnsi="仿宋" w:eastAsia="仿宋" w:cs="宋体"/>
                <w:kern w:val="0"/>
                <w:sz w:val="20"/>
                <w:szCs w:val="20"/>
                <w:lang w:val="en-US" w:eastAsia="zh-CN"/>
              </w:rPr>
              <w:t>%</w:t>
            </w:r>
            <w:r>
              <w:rPr>
                <w:rFonts w:hint="eastAsia" w:ascii="仿宋" w:hAnsi="仿宋" w:eastAsia="仿宋" w:cs="宋体"/>
                <w:kern w:val="0"/>
                <w:sz w:val="20"/>
                <w:szCs w:val="20"/>
                <w:lang w:val="en-US" w:eastAsia="zh-CN"/>
              </w:rPr>
              <w:t>，得1分，否则视具体管理情况得分。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0.476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1122" w:type="dxa"/>
            <w:vMerge w:val="continue"/>
            <w:tcBorders>
              <w:tl2br w:val="nil"/>
              <w:tr2bl w:val="nil"/>
            </w:tcBorders>
            <w:vAlign w:val="center"/>
          </w:tcPr>
          <w:p>
            <w:pPr>
              <w:jc w:val="center"/>
              <w:rPr>
                <w:rFonts w:ascii="仿宋" w:hAnsi="仿宋" w:eastAsia="仿宋" w:cs="宋体"/>
                <w:kern w:val="0"/>
                <w:sz w:val="20"/>
                <w:szCs w:val="20"/>
              </w:rPr>
            </w:pPr>
          </w:p>
        </w:tc>
        <w:tc>
          <w:tcPr>
            <w:tcW w:w="1150" w:type="dxa"/>
            <w:vMerge w:val="continue"/>
            <w:tcBorders>
              <w:tl2br w:val="nil"/>
              <w:tr2bl w:val="nil"/>
            </w:tcBorders>
            <w:vAlign w:val="center"/>
          </w:tcPr>
          <w:p>
            <w:pPr>
              <w:jc w:val="center"/>
              <w:rPr>
                <w:rFonts w:hint="eastAsia" w:ascii="仿宋" w:hAnsi="仿宋" w:eastAsia="仿宋" w:cs="宋体"/>
                <w:kern w:val="0"/>
                <w:sz w:val="20"/>
                <w:szCs w:val="20"/>
                <w:lang w:eastAsia="zh-CN"/>
              </w:rPr>
            </w:pP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val="en-US" w:eastAsia="zh-CN"/>
              </w:rPr>
              <w:t>0-36个月儿童</w:t>
            </w:r>
            <w:r>
              <w:rPr>
                <w:rFonts w:hint="eastAsia" w:ascii="仿宋" w:hAnsi="仿宋" w:eastAsia="仿宋" w:cs="宋体"/>
                <w:kern w:val="0"/>
                <w:sz w:val="20"/>
                <w:szCs w:val="20"/>
                <w:lang w:eastAsia="zh-CN"/>
              </w:rPr>
              <w:t>中医药健康管理率</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年度辖区内</w:t>
            </w:r>
            <w:r>
              <w:rPr>
                <w:rFonts w:hint="eastAsia" w:ascii="仿宋" w:hAnsi="仿宋" w:eastAsia="仿宋" w:cs="宋体"/>
                <w:kern w:val="0"/>
                <w:sz w:val="20"/>
                <w:szCs w:val="20"/>
                <w:lang w:val="en-US" w:eastAsia="zh-CN"/>
              </w:rPr>
              <w:t>-36个月儿童接受中医药健康管理服务的人数，反映和考核儿童中医药服务的数量的质量。</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年内0-36个月儿童接受中医药</w:t>
            </w:r>
            <w:r>
              <w:rPr>
                <w:rFonts w:hint="default" w:ascii="仿宋" w:hAnsi="仿宋" w:eastAsia="仿宋" w:cs="宋体"/>
                <w:kern w:val="0"/>
                <w:sz w:val="20"/>
                <w:szCs w:val="20"/>
                <w:lang w:val="en-US" w:eastAsia="zh-CN"/>
              </w:rPr>
              <w:t>健康管理服务率≥</w:t>
            </w:r>
            <w:r>
              <w:rPr>
                <w:rFonts w:hint="eastAsia" w:ascii="仿宋" w:hAnsi="仿宋" w:eastAsia="仿宋" w:cs="宋体"/>
                <w:kern w:val="0"/>
                <w:sz w:val="20"/>
                <w:szCs w:val="20"/>
                <w:lang w:val="en-US" w:eastAsia="zh-CN"/>
              </w:rPr>
              <w:t>70</w:t>
            </w:r>
            <w:r>
              <w:rPr>
                <w:rFonts w:hint="default" w:ascii="仿宋" w:hAnsi="仿宋" w:eastAsia="仿宋" w:cs="宋体"/>
                <w:kern w:val="0"/>
                <w:sz w:val="20"/>
                <w:szCs w:val="20"/>
                <w:lang w:val="en-US" w:eastAsia="zh-CN"/>
              </w:rPr>
              <w:t>%</w:t>
            </w:r>
            <w:r>
              <w:rPr>
                <w:rFonts w:hint="eastAsia" w:ascii="仿宋" w:hAnsi="仿宋" w:eastAsia="仿宋" w:cs="宋体"/>
                <w:kern w:val="0"/>
                <w:sz w:val="20"/>
                <w:szCs w:val="20"/>
                <w:lang w:val="en-US" w:eastAsia="zh-CN"/>
              </w:rPr>
              <w:t>，得1分，否则不得分。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122" w:type="dxa"/>
            <w:vMerge w:val="continue"/>
            <w:tcBorders>
              <w:tl2br w:val="nil"/>
              <w:tr2bl w:val="nil"/>
            </w:tcBorders>
            <w:vAlign w:val="center"/>
          </w:tcPr>
          <w:p>
            <w:pPr>
              <w:jc w:val="center"/>
              <w:rPr>
                <w:rFonts w:ascii="仿宋" w:hAnsi="仿宋" w:eastAsia="仿宋" w:cs="宋体"/>
                <w:kern w:val="0"/>
                <w:sz w:val="20"/>
                <w:szCs w:val="20"/>
              </w:rPr>
            </w:pPr>
          </w:p>
        </w:tc>
        <w:tc>
          <w:tcPr>
            <w:tcW w:w="1150" w:type="dxa"/>
            <w:vMerge w:val="restart"/>
            <w:tcBorders>
              <w:tl2br w:val="nil"/>
              <w:tr2bl w:val="nil"/>
            </w:tcBorders>
            <w:vAlign w:val="center"/>
          </w:tcPr>
          <w:p>
            <w:pPr>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eastAsia="zh-CN"/>
              </w:rPr>
              <w:t>传染病和突发公共卫生事件报告和处理</w:t>
            </w:r>
            <w:r>
              <w:rPr>
                <w:rFonts w:hint="eastAsia" w:ascii="仿宋" w:hAnsi="仿宋" w:eastAsia="仿宋" w:cs="宋体"/>
                <w:kern w:val="0"/>
                <w:sz w:val="20"/>
                <w:szCs w:val="20"/>
                <w:lang w:val="en-US" w:eastAsia="zh-CN"/>
              </w:rPr>
              <w:t xml:space="preserve">      </w:t>
            </w:r>
            <w:r>
              <w:rPr>
                <w:rFonts w:hint="eastAsia" w:ascii="仿宋" w:hAnsi="仿宋" w:eastAsia="仿宋" w:cs="宋体"/>
                <w:kern w:val="0"/>
                <w:sz w:val="20"/>
                <w:szCs w:val="20"/>
                <w:lang w:eastAsia="zh-CN"/>
              </w:rPr>
              <w:t>（</w:t>
            </w:r>
            <w:r>
              <w:rPr>
                <w:rFonts w:hint="eastAsia" w:ascii="仿宋" w:hAnsi="仿宋" w:eastAsia="仿宋" w:cs="宋体"/>
                <w:kern w:val="0"/>
                <w:sz w:val="20"/>
                <w:szCs w:val="20"/>
                <w:lang w:val="en-US" w:eastAsia="zh-CN"/>
              </w:rPr>
              <w:t>2分）</w:t>
            </w: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传染病疫情报告和处理</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反映年度内及时上报传染病病情的情况。</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default" w:ascii="仿宋" w:hAnsi="仿宋" w:eastAsia="仿宋" w:cs="宋体"/>
                <w:kern w:val="0"/>
                <w:sz w:val="20"/>
                <w:szCs w:val="20"/>
                <w:lang w:val="en-US" w:eastAsia="zh-CN"/>
              </w:rPr>
            </w:pPr>
            <w:r>
              <w:rPr>
                <w:rFonts w:hint="default" w:ascii="仿宋" w:hAnsi="仿宋" w:eastAsia="仿宋" w:cs="宋体"/>
                <w:kern w:val="0"/>
                <w:sz w:val="20"/>
                <w:szCs w:val="20"/>
                <w:lang w:val="en-US" w:eastAsia="zh-CN"/>
              </w:rPr>
              <w:t>传染病</w:t>
            </w:r>
            <w:r>
              <w:rPr>
                <w:rFonts w:hint="eastAsia" w:ascii="仿宋" w:hAnsi="仿宋" w:eastAsia="仿宋" w:cs="宋体"/>
                <w:kern w:val="0"/>
                <w:sz w:val="20"/>
                <w:szCs w:val="20"/>
                <w:lang w:val="en-US" w:eastAsia="zh-CN"/>
              </w:rPr>
              <w:t>疫情</w:t>
            </w:r>
            <w:r>
              <w:rPr>
                <w:rFonts w:hint="default" w:ascii="仿宋" w:hAnsi="仿宋" w:eastAsia="仿宋" w:cs="宋体"/>
                <w:kern w:val="0"/>
                <w:sz w:val="20"/>
                <w:szCs w:val="20"/>
                <w:lang w:val="en-US" w:eastAsia="zh-CN"/>
              </w:rPr>
              <w:t>报告率≥</w:t>
            </w:r>
            <w:r>
              <w:rPr>
                <w:rFonts w:hint="eastAsia" w:ascii="仿宋" w:hAnsi="仿宋" w:eastAsia="仿宋" w:cs="宋体"/>
                <w:kern w:val="0"/>
                <w:sz w:val="20"/>
                <w:szCs w:val="20"/>
                <w:lang w:val="en-US" w:eastAsia="zh-CN"/>
              </w:rPr>
              <w:t>100</w:t>
            </w:r>
            <w:r>
              <w:rPr>
                <w:rFonts w:hint="default" w:ascii="仿宋" w:hAnsi="仿宋" w:eastAsia="仿宋" w:cs="宋体"/>
                <w:kern w:val="0"/>
                <w:sz w:val="20"/>
                <w:szCs w:val="20"/>
                <w:lang w:val="en-US" w:eastAsia="zh-CN"/>
              </w:rPr>
              <w:t>%，报告及时率、准确率100%</w:t>
            </w:r>
            <w:r>
              <w:rPr>
                <w:rFonts w:hint="eastAsia" w:ascii="仿宋" w:hAnsi="仿宋" w:eastAsia="仿宋" w:cs="宋体"/>
                <w:kern w:val="0"/>
                <w:sz w:val="20"/>
                <w:szCs w:val="20"/>
                <w:lang w:val="en-US" w:eastAsia="zh-CN"/>
              </w:rPr>
              <w:t>，得1分，否则视具体管理情况得分。</w:t>
            </w:r>
          </w:p>
        </w:tc>
        <w:tc>
          <w:tcPr>
            <w:tcW w:w="713"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1122" w:type="dxa"/>
            <w:vMerge w:val="continue"/>
            <w:tcBorders>
              <w:tl2br w:val="nil"/>
              <w:tr2bl w:val="nil"/>
            </w:tcBorders>
            <w:vAlign w:val="center"/>
          </w:tcPr>
          <w:p>
            <w:pPr>
              <w:jc w:val="center"/>
              <w:rPr>
                <w:rFonts w:ascii="仿宋" w:hAnsi="仿宋" w:eastAsia="仿宋" w:cs="宋体"/>
                <w:kern w:val="0"/>
                <w:sz w:val="20"/>
                <w:szCs w:val="20"/>
              </w:rPr>
            </w:pPr>
          </w:p>
        </w:tc>
        <w:tc>
          <w:tcPr>
            <w:tcW w:w="1150" w:type="dxa"/>
            <w:vMerge w:val="continue"/>
            <w:tcBorders>
              <w:tl2br w:val="nil"/>
              <w:tr2bl w:val="nil"/>
            </w:tcBorders>
            <w:vAlign w:val="center"/>
          </w:tcPr>
          <w:p>
            <w:pPr>
              <w:jc w:val="center"/>
              <w:rPr>
                <w:rFonts w:hint="eastAsia" w:ascii="仿宋" w:hAnsi="仿宋" w:eastAsia="仿宋" w:cs="宋体"/>
                <w:kern w:val="0"/>
                <w:sz w:val="20"/>
                <w:szCs w:val="20"/>
                <w:lang w:eastAsia="zh-CN"/>
              </w:rPr>
            </w:pP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eastAsia="zh-CN"/>
              </w:rPr>
              <w:t>突发公共卫生事件报告和处理</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反映年度内及时上报传染病病情的情况。</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eastAsia="zh-CN"/>
              </w:rPr>
              <w:t>突发公共卫生事件</w:t>
            </w:r>
            <w:r>
              <w:rPr>
                <w:rFonts w:hint="default" w:ascii="仿宋" w:hAnsi="仿宋" w:eastAsia="仿宋" w:cs="宋体"/>
                <w:kern w:val="0"/>
                <w:sz w:val="20"/>
                <w:szCs w:val="20"/>
                <w:lang w:val="en-US" w:eastAsia="zh-CN"/>
              </w:rPr>
              <w:t>报告率≥</w:t>
            </w:r>
            <w:r>
              <w:rPr>
                <w:rFonts w:hint="eastAsia" w:ascii="仿宋" w:hAnsi="仿宋" w:eastAsia="仿宋" w:cs="宋体"/>
                <w:kern w:val="0"/>
                <w:sz w:val="20"/>
                <w:szCs w:val="20"/>
                <w:lang w:val="en-US" w:eastAsia="zh-CN"/>
              </w:rPr>
              <w:t>100</w:t>
            </w:r>
            <w:r>
              <w:rPr>
                <w:rFonts w:hint="default" w:ascii="仿宋" w:hAnsi="仿宋" w:eastAsia="仿宋" w:cs="宋体"/>
                <w:kern w:val="0"/>
                <w:sz w:val="20"/>
                <w:szCs w:val="20"/>
                <w:lang w:val="en-US" w:eastAsia="zh-CN"/>
              </w:rPr>
              <w:t>%，报告及时率、准确率100%</w:t>
            </w:r>
            <w:r>
              <w:rPr>
                <w:rFonts w:hint="eastAsia" w:ascii="仿宋" w:hAnsi="仿宋" w:eastAsia="仿宋" w:cs="宋体"/>
                <w:kern w:val="0"/>
                <w:sz w:val="20"/>
                <w:szCs w:val="20"/>
                <w:lang w:val="en-US" w:eastAsia="zh-CN"/>
              </w:rPr>
              <w:t>，得1分，否则不得分。</w:t>
            </w:r>
          </w:p>
        </w:tc>
        <w:tc>
          <w:tcPr>
            <w:tcW w:w="713"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1122" w:type="dxa"/>
            <w:vMerge w:val="continue"/>
            <w:tcBorders>
              <w:tl2br w:val="nil"/>
              <w:tr2bl w:val="nil"/>
            </w:tcBorders>
            <w:vAlign w:val="center"/>
          </w:tcPr>
          <w:p>
            <w:pPr>
              <w:jc w:val="center"/>
              <w:rPr>
                <w:rFonts w:ascii="仿宋" w:hAnsi="仿宋" w:eastAsia="仿宋" w:cs="宋体"/>
                <w:kern w:val="0"/>
                <w:sz w:val="20"/>
                <w:szCs w:val="20"/>
              </w:rPr>
            </w:pPr>
          </w:p>
        </w:tc>
        <w:tc>
          <w:tcPr>
            <w:tcW w:w="1150" w:type="dxa"/>
            <w:tcBorders>
              <w:tl2br w:val="nil"/>
              <w:tr2bl w:val="nil"/>
            </w:tcBorders>
            <w:vAlign w:val="center"/>
          </w:tcPr>
          <w:p>
            <w:pPr>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eastAsia="zh-CN"/>
              </w:rPr>
              <w:t>卫生计生监督协管（</w:t>
            </w:r>
            <w:r>
              <w:rPr>
                <w:rFonts w:hint="eastAsia" w:ascii="仿宋" w:hAnsi="仿宋" w:eastAsia="仿宋" w:cs="宋体"/>
                <w:kern w:val="0"/>
                <w:sz w:val="20"/>
                <w:szCs w:val="20"/>
                <w:lang w:val="en-US" w:eastAsia="zh-CN"/>
              </w:rPr>
              <w:t>1分）</w:t>
            </w:r>
          </w:p>
        </w:tc>
        <w:tc>
          <w:tcPr>
            <w:tcW w:w="1321"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卫生计生监督协管</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反映年度内开展卫生监督协管实地巡查的覆盖率。</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val="en-US" w:eastAsia="zh-CN"/>
              </w:rPr>
              <w:t>1.</w:t>
            </w:r>
            <w:r>
              <w:rPr>
                <w:rFonts w:hint="eastAsia" w:ascii="仿宋" w:hAnsi="仿宋" w:eastAsia="仿宋" w:cs="宋体"/>
                <w:kern w:val="0"/>
                <w:sz w:val="20"/>
                <w:szCs w:val="20"/>
                <w:lang w:eastAsia="zh-CN"/>
              </w:rPr>
              <w:t>协助</w:t>
            </w:r>
            <w:r>
              <w:rPr>
                <w:rFonts w:hint="eastAsia" w:ascii="仿宋" w:hAnsi="仿宋" w:eastAsia="仿宋" w:cs="宋体"/>
                <w:kern w:val="0"/>
                <w:sz w:val="20"/>
                <w:szCs w:val="20"/>
                <w:lang w:val="en-US" w:eastAsia="zh-CN"/>
              </w:rPr>
              <w:t>开展的食源性疾病</w:t>
            </w:r>
            <w:r>
              <w:rPr>
                <w:rFonts w:hint="eastAsia" w:ascii="仿宋" w:hAnsi="仿宋" w:eastAsia="仿宋" w:cs="宋体"/>
                <w:kern w:val="0"/>
                <w:sz w:val="20"/>
                <w:szCs w:val="20"/>
                <w:lang w:eastAsia="zh-CN"/>
              </w:rPr>
              <w:t>、饮用水卫生、学校卫生、非法行医、非法采供血、</w:t>
            </w:r>
            <w:r>
              <w:rPr>
                <w:rFonts w:hint="eastAsia" w:ascii="仿宋" w:hAnsi="仿宋" w:eastAsia="仿宋" w:cs="宋体"/>
                <w:kern w:val="0"/>
                <w:sz w:val="20"/>
                <w:szCs w:val="20"/>
                <w:lang w:val="en-US" w:eastAsia="zh-CN"/>
              </w:rPr>
              <w:t>计划生育实地巡查数量明确，且巡查覆盖率为100%</w:t>
            </w:r>
            <w:r>
              <w:rPr>
                <w:rFonts w:hint="eastAsia" w:ascii="仿宋" w:hAnsi="仿宋" w:eastAsia="仿宋" w:cs="宋体"/>
                <w:kern w:val="0"/>
                <w:sz w:val="20"/>
                <w:szCs w:val="20"/>
                <w:lang w:eastAsia="zh-CN"/>
              </w:rPr>
              <w:t>，</w:t>
            </w:r>
            <w:r>
              <w:rPr>
                <w:rFonts w:hint="eastAsia" w:ascii="仿宋" w:hAnsi="仿宋" w:eastAsia="仿宋" w:cs="宋体"/>
                <w:kern w:val="0"/>
                <w:sz w:val="20"/>
                <w:szCs w:val="20"/>
                <w:lang w:val="en-US" w:eastAsia="zh-CN"/>
              </w:rPr>
              <w:t>得0.7分，否则不得分；2.协管信息报告率达到100%，得0.3分，否则不得分。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122" w:type="dxa"/>
            <w:vMerge w:val="restart"/>
            <w:tcBorders>
              <w:tl2br w:val="nil"/>
              <w:tr2bl w:val="nil"/>
            </w:tcBorders>
            <w:vAlign w:val="center"/>
          </w:tcPr>
          <w:p>
            <w:pPr>
              <w:jc w:val="both"/>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产出   （40分）</w:t>
            </w:r>
          </w:p>
        </w:tc>
        <w:tc>
          <w:tcPr>
            <w:tcW w:w="1150" w:type="dxa"/>
            <w:vMerge w:val="restart"/>
            <w:tcBorders>
              <w:tl2br w:val="nil"/>
              <w:tr2bl w:val="nil"/>
            </w:tcBorders>
            <w:vAlign w:val="center"/>
          </w:tcPr>
          <w:p>
            <w:pPr>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基本避孕服务    （1分）</w:t>
            </w:r>
          </w:p>
        </w:tc>
        <w:tc>
          <w:tcPr>
            <w:tcW w:w="1321" w:type="dxa"/>
            <w:tcBorders>
              <w:tl2br w:val="nil"/>
              <w:tr2bl w:val="nil"/>
            </w:tcBorders>
            <w:shd w:val="clear" w:color="auto" w:fill="auto"/>
            <w:vAlign w:val="center"/>
          </w:tcPr>
          <w:p>
            <w:pPr>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免费提</w:t>
            </w:r>
            <w:r>
              <w:rPr>
                <w:rFonts w:hint="eastAsia" w:ascii="仿宋" w:hAnsi="仿宋" w:eastAsia="仿宋" w:cs="宋体"/>
                <w:kern w:val="0"/>
                <w:sz w:val="20"/>
                <w:szCs w:val="20"/>
                <w:lang w:val="en-US" w:eastAsia="zh-CN"/>
              </w:rPr>
              <w:t>供基本避</w:t>
            </w:r>
            <w:r>
              <w:rPr>
                <w:rFonts w:hint="eastAsia" w:ascii="仿宋" w:hAnsi="仿宋" w:eastAsia="仿宋" w:cs="宋体"/>
                <w:kern w:val="0"/>
                <w:sz w:val="20"/>
                <w:szCs w:val="20"/>
                <w:lang w:eastAsia="zh-CN"/>
              </w:rPr>
              <w:t>孕药具</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0.3</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val="en-US" w:eastAsia="zh-CN"/>
              </w:rPr>
              <w:t>反映</w:t>
            </w:r>
            <w:r>
              <w:rPr>
                <w:rFonts w:hint="eastAsia" w:ascii="仿宋" w:hAnsi="仿宋" w:eastAsia="仿宋" w:cs="宋体"/>
                <w:kern w:val="0"/>
                <w:sz w:val="20"/>
                <w:szCs w:val="20"/>
                <w:lang w:eastAsia="zh-CN"/>
              </w:rPr>
              <w:t>年度辖区内免费提供</w:t>
            </w:r>
            <w:r>
              <w:rPr>
                <w:rFonts w:hint="eastAsia" w:ascii="仿宋" w:hAnsi="仿宋" w:eastAsia="仿宋" w:cs="宋体"/>
                <w:kern w:val="0"/>
                <w:sz w:val="20"/>
                <w:szCs w:val="20"/>
                <w:lang w:val="en-US" w:eastAsia="zh-CN"/>
              </w:rPr>
              <w:t>基本</w:t>
            </w:r>
            <w:r>
              <w:rPr>
                <w:rFonts w:hint="eastAsia" w:ascii="仿宋" w:hAnsi="仿宋" w:eastAsia="仿宋" w:cs="宋体"/>
                <w:kern w:val="0"/>
                <w:sz w:val="20"/>
                <w:szCs w:val="20"/>
                <w:lang w:eastAsia="zh-CN"/>
              </w:rPr>
              <w:t>避孕药具的情况。</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val="en-US" w:eastAsia="zh-CN"/>
              </w:rPr>
              <w:t>避孕药具发放率</w:t>
            </w:r>
            <w:r>
              <w:rPr>
                <w:rFonts w:hint="default" w:ascii="仿宋" w:hAnsi="仿宋" w:eastAsia="仿宋" w:cs="宋体"/>
                <w:kern w:val="0"/>
                <w:sz w:val="20"/>
                <w:szCs w:val="20"/>
                <w:lang w:val="en-US" w:eastAsia="zh-CN"/>
              </w:rPr>
              <w:t>≥</w:t>
            </w:r>
            <w:r>
              <w:rPr>
                <w:rFonts w:hint="eastAsia" w:ascii="仿宋" w:hAnsi="仿宋" w:eastAsia="仿宋" w:cs="宋体"/>
                <w:kern w:val="0"/>
                <w:sz w:val="20"/>
                <w:szCs w:val="20"/>
                <w:lang w:val="en-US" w:eastAsia="zh-CN"/>
              </w:rPr>
              <w:t>8</w:t>
            </w:r>
            <w:r>
              <w:rPr>
                <w:rFonts w:hint="default" w:ascii="仿宋" w:hAnsi="仿宋" w:eastAsia="仿宋" w:cs="宋体"/>
                <w:kern w:val="0"/>
                <w:sz w:val="20"/>
                <w:szCs w:val="20"/>
                <w:lang w:val="en-US" w:eastAsia="zh-CN"/>
              </w:rPr>
              <w:t>0%</w:t>
            </w:r>
            <w:r>
              <w:rPr>
                <w:rFonts w:hint="eastAsia" w:ascii="仿宋" w:hAnsi="仿宋" w:eastAsia="仿宋" w:cs="宋体"/>
                <w:kern w:val="0"/>
                <w:sz w:val="20"/>
                <w:szCs w:val="20"/>
                <w:lang w:eastAsia="zh-CN"/>
              </w:rPr>
              <w:t>，</w:t>
            </w:r>
            <w:r>
              <w:rPr>
                <w:rFonts w:hint="eastAsia" w:ascii="仿宋" w:hAnsi="仿宋" w:eastAsia="仿宋" w:cs="宋体"/>
                <w:kern w:val="0"/>
                <w:sz w:val="20"/>
                <w:szCs w:val="20"/>
                <w:lang w:val="en-US" w:eastAsia="zh-CN"/>
              </w:rPr>
              <w:t>辖区基本避孕药具发放覆盖率</w:t>
            </w:r>
            <w:r>
              <w:rPr>
                <w:rFonts w:hint="default" w:ascii="仿宋" w:hAnsi="仿宋" w:eastAsia="仿宋" w:cs="宋体"/>
                <w:kern w:val="0"/>
                <w:sz w:val="20"/>
                <w:szCs w:val="20"/>
                <w:lang w:val="en-US" w:eastAsia="zh-CN"/>
              </w:rPr>
              <w:t>≥60%</w:t>
            </w:r>
            <w:r>
              <w:rPr>
                <w:rFonts w:hint="eastAsia" w:ascii="仿宋" w:hAnsi="仿宋" w:eastAsia="仿宋" w:cs="宋体"/>
                <w:kern w:val="0"/>
                <w:sz w:val="20"/>
                <w:szCs w:val="20"/>
                <w:lang w:val="en-US" w:eastAsia="zh-CN"/>
              </w:rPr>
              <w:t>，得0.3分，否则不得分。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16"/>
                <w:szCs w:val="16"/>
                <w:lang w:val="en-US" w:eastAsia="zh-CN"/>
              </w:rPr>
              <w:t>0.265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122" w:type="dxa"/>
            <w:vMerge w:val="continue"/>
            <w:tcBorders>
              <w:tl2br w:val="nil"/>
              <w:tr2bl w:val="nil"/>
            </w:tcBorders>
            <w:vAlign w:val="center"/>
          </w:tcPr>
          <w:p>
            <w:pPr>
              <w:jc w:val="center"/>
              <w:rPr>
                <w:rFonts w:ascii="仿宋" w:hAnsi="仿宋" w:eastAsia="仿宋" w:cs="宋体"/>
                <w:kern w:val="0"/>
                <w:sz w:val="20"/>
                <w:szCs w:val="20"/>
              </w:rPr>
            </w:pPr>
          </w:p>
        </w:tc>
        <w:tc>
          <w:tcPr>
            <w:tcW w:w="1150" w:type="dxa"/>
            <w:vMerge w:val="continue"/>
            <w:tcBorders>
              <w:tl2br w:val="nil"/>
              <w:tr2bl w:val="nil"/>
            </w:tcBorders>
            <w:vAlign w:val="center"/>
          </w:tcPr>
          <w:p>
            <w:pPr>
              <w:jc w:val="center"/>
              <w:rPr>
                <w:rFonts w:hint="eastAsia" w:ascii="仿宋" w:hAnsi="仿宋" w:eastAsia="仿宋" w:cs="宋体"/>
                <w:kern w:val="0"/>
                <w:sz w:val="20"/>
                <w:szCs w:val="20"/>
                <w:lang w:val="en-US" w:eastAsia="zh-CN"/>
              </w:rPr>
            </w:pPr>
          </w:p>
        </w:tc>
        <w:tc>
          <w:tcPr>
            <w:tcW w:w="1321" w:type="dxa"/>
            <w:tcBorders>
              <w:tl2br w:val="nil"/>
              <w:tr2bl w:val="nil"/>
            </w:tcBorders>
            <w:shd w:val="clear" w:color="auto" w:fill="auto"/>
            <w:vAlign w:val="center"/>
          </w:tcPr>
          <w:p>
            <w:pPr>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免费基本避孕手术</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0.7</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val="en-US" w:eastAsia="zh-CN"/>
              </w:rPr>
              <w:t>反映</w:t>
            </w:r>
            <w:r>
              <w:rPr>
                <w:rFonts w:hint="eastAsia" w:ascii="仿宋" w:hAnsi="仿宋" w:eastAsia="仿宋" w:cs="宋体"/>
                <w:kern w:val="0"/>
                <w:sz w:val="20"/>
                <w:szCs w:val="20"/>
                <w:lang w:eastAsia="zh-CN"/>
              </w:rPr>
              <w:t>年度辖区内免费提供</w:t>
            </w:r>
            <w:r>
              <w:rPr>
                <w:rFonts w:hint="eastAsia" w:ascii="仿宋" w:hAnsi="仿宋" w:eastAsia="仿宋" w:cs="宋体"/>
                <w:kern w:val="0"/>
                <w:sz w:val="20"/>
                <w:szCs w:val="20"/>
                <w:lang w:val="en-US" w:eastAsia="zh-CN"/>
              </w:rPr>
              <w:t>基本</w:t>
            </w:r>
            <w:r>
              <w:rPr>
                <w:rFonts w:hint="eastAsia" w:ascii="仿宋" w:hAnsi="仿宋" w:eastAsia="仿宋" w:cs="宋体"/>
                <w:kern w:val="0"/>
                <w:sz w:val="20"/>
                <w:szCs w:val="20"/>
                <w:lang w:eastAsia="zh-CN"/>
              </w:rPr>
              <w:t>避孕</w:t>
            </w:r>
            <w:r>
              <w:rPr>
                <w:rFonts w:hint="eastAsia" w:ascii="仿宋" w:hAnsi="仿宋" w:eastAsia="仿宋" w:cs="宋体"/>
                <w:kern w:val="0"/>
                <w:sz w:val="20"/>
                <w:szCs w:val="20"/>
                <w:lang w:val="en-US" w:eastAsia="zh-CN"/>
              </w:rPr>
              <w:t>手术</w:t>
            </w:r>
            <w:r>
              <w:rPr>
                <w:rFonts w:hint="eastAsia" w:ascii="仿宋" w:hAnsi="仿宋" w:eastAsia="仿宋" w:cs="宋体"/>
                <w:kern w:val="0"/>
                <w:sz w:val="20"/>
                <w:szCs w:val="20"/>
                <w:lang w:eastAsia="zh-CN"/>
              </w:rPr>
              <w:t>的情况</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年度辖区内基本避孕手术服务率</w:t>
            </w:r>
            <w:r>
              <w:rPr>
                <w:rFonts w:hint="default" w:ascii="仿宋" w:hAnsi="仿宋" w:eastAsia="仿宋" w:cs="宋体"/>
                <w:kern w:val="0"/>
                <w:sz w:val="20"/>
                <w:szCs w:val="20"/>
                <w:lang w:val="en-US" w:eastAsia="zh-CN"/>
              </w:rPr>
              <w:t>≥</w:t>
            </w:r>
            <w:r>
              <w:rPr>
                <w:rFonts w:hint="default" w:ascii="仿宋" w:hAnsi="仿宋" w:eastAsia="仿宋" w:cs="宋体"/>
                <w:kern w:val="0"/>
                <w:sz w:val="20"/>
                <w:szCs w:val="20"/>
                <w:highlight w:val="none"/>
                <w:lang w:val="en-US" w:eastAsia="zh-CN"/>
              </w:rPr>
              <w:t>60%</w:t>
            </w:r>
            <w:r>
              <w:rPr>
                <w:rFonts w:hint="eastAsia" w:ascii="仿宋" w:hAnsi="仿宋" w:eastAsia="仿宋" w:cs="宋体"/>
                <w:kern w:val="0"/>
                <w:sz w:val="20"/>
                <w:szCs w:val="20"/>
                <w:lang w:val="en-US" w:eastAsia="zh-CN"/>
              </w:rPr>
              <w:t>，得0.7分，否则不得分。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1122" w:type="dxa"/>
            <w:vMerge w:val="continue"/>
            <w:tcBorders>
              <w:tl2br w:val="nil"/>
              <w:tr2bl w:val="nil"/>
            </w:tcBorders>
            <w:vAlign w:val="center"/>
          </w:tcPr>
          <w:p>
            <w:pPr>
              <w:jc w:val="both"/>
              <w:rPr>
                <w:rFonts w:hint="default" w:ascii="仿宋" w:hAnsi="仿宋" w:eastAsia="仿宋" w:cs="宋体"/>
                <w:kern w:val="0"/>
                <w:sz w:val="20"/>
                <w:szCs w:val="20"/>
                <w:lang w:val="en-US" w:eastAsia="zh-CN"/>
              </w:rPr>
            </w:pPr>
          </w:p>
        </w:tc>
        <w:tc>
          <w:tcPr>
            <w:tcW w:w="1150" w:type="dxa"/>
            <w:tcBorders>
              <w:tl2br w:val="nil"/>
              <w:tr2bl w:val="nil"/>
            </w:tcBorders>
            <w:vAlign w:val="center"/>
          </w:tcPr>
          <w:p>
            <w:pPr>
              <w:jc w:val="center"/>
              <w:rPr>
                <w:rFonts w:hint="default" w:ascii="仿宋" w:hAnsi="仿宋" w:eastAsia="仿宋" w:cs="宋体"/>
                <w:kern w:val="0"/>
                <w:sz w:val="18"/>
                <w:szCs w:val="18"/>
                <w:lang w:val="en-US" w:eastAsia="zh-CN"/>
              </w:rPr>
            </w:pPr>
            <w:r>
              <w:rPr>
                <w:rFonts w:hint="eastAsia" w:ascii="仿宋" w:hAnsi="仿宋" w:eastAsia="仿宋" w:cs="宋体"/>
                <w:kern w:val="0"/>
                <w:sz w:val="18"/>
                <w:szCs w:val="18"/>
                <w:lang w:eastAsia="zh-CN"/>
              </w:rPr>
              <w:t>健康素养促进行动</w:t>
            </w:r>
            <w:r>
              <w:rPr>
                <w:rFonts w:hint="eastAsia" w:ascii="仿宋" w:hAnsi="仿宋" w:eastAsia="仿宋" w:cs="宋体"/>
                <w:kern w:val="0"/>
                <w:sz w:val="18"/>
                <w:szCs w:val="18"/>
                <w:lang w:val="en-US" w:eastAsia="zh-CN"/>
              </w:rPr>
              <w:t xml:space="preserve">   </w:t>
            </w:r>
            <w:r>
              <w:rPr>
                <w:rFonts w:hint="eastAsia" w:ascii="仿宋" w:hAnsi="仿宋" w:eastAsia="仿宋" w:cs="宋体"/>
                <w:kern w:val="0"/>
                <w:sz w:val="18"/>
                <w:szCs w:val="18"/>
                <w:lang w:eastAsia="zh-CN"/>
              </w:rPr>
              <w:t>（</w:t>
            </w:r>
            <w:r>
              <w:rPr>
                <w:rFonts w:hint="eastAsia" w:ascii="仿宋" w:hAnsi="仿宋" w:eastAsia="仿宋" w:cs="宋体"/>
                <w:kern w:val="0"/>
                <w:sz w:val="18"/>
                <w:szCs w:val="18"/>
                <w:lang w:val="en-US" w:eastAsia="zh-CN"/>
              </w:rPr>
              <w:t>1分）</w:t>
            </w:r>
          </w:p>
        </w:tc>
        <w:tc>
          <w:tcPr>
            <w:tcW w:w="1321" w:type="dxa"/>
            <w:tcBorders>
              <w:tl2br w:val="nil"/>
              <w:tr2bl w:val="nil"/>
            </w:tcBorders>
            <w:shd w:val="clear" w:color="auto" w:fill="auto"/>
            <w:vAlign w:val="center"/>
          </w:tcPr>
          <w:p>
            <w:pPr>
              <w:jc w:val="center"/>
              <w:rPr>
                <w:rFonts w:hint="eastAsia" w:ascii="仿宋" w:hAnsi="仿宋" w:eastAsia="仿宋" w:cs="宋体"/>
                <w:kern w:val="0"/>
                <w:sz w:val="18"/>
                <w:szCs w:val="18"/>
                <w:lang w:eastAsia="zh-CN"/>
              </w:rPr>
            </w:pPr>
            <w:r>
              <w:rPr>
                <w:rFonts w:hint="eastAsia" w:ascii="仿宋" w:hAnsi="仿宋" w:eastAsia="仿宋" w:cs="宋体"/>
                <w:kern w:val="0"/>
                <w:sz w:val="18"/>
                <w:szCs w:val="18"/>
                <w:lang w:eastAsia="zh-CN"/>
              </w:rPr>
              <w:t>健康素养促进行动</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18"/>
                <w:szCs w:val="18"/>
                <w:lang w:eastAsia="zh-CN"/>
              </w:rPr>
            </w:pPr>
            <w:r>
              <w:rPr>
                <w:rFonts w:hint="eastAsia" w:ascii="仿宋" w:hAnsi="仿宋" w:eastAsia="仿宋" w:cs="宋体"/>
                <w:kern w:val="0"/>
                <w:sz w:val="18"/>
                <w:szCs w:val="18"/>
                <w:highlight w:val="none"/>
                <w:lang w:val="en-US" w:eastAsia="zh-CN"/>
              </w:rPr>
              <w:t>是否按照服务规范开展健康素养促进项目、无烟环境创建、烟草危害宣传等工作，</w:t>
            </w:r>
            <w:r>
              <w:rPr>
                <w:rFonts w:hint="eastAsia" w:ascii="仿宋" w:hAnsi="仿宋" w:eastAsia="仿宋" w:cs="宋体"/>
                <w:kern w:val="0"/>
                <w:sz w:val="18"/>
                <w:szCs w:val="18"/>
                <w:highlight w:val="none"/>
                <w:lang w:eastAsia="zh-CN"/>
              </w:rPr>
              <w:t>反映</w:t>
            </w:r>
            <w:r>
              <w:rPr>
                <w:rFonts w:hint="eastAsia" w:ascii="仿宋" w:hAnsi="仿宋" w:eastAsia="仿宋" w:cs="宋体"/>
                <w:kern w:val="0"/>
                <w:sz w:val="18"/>
                <w:szCs w:val="18"/>
                <w:highlight w:val="none"/>
                <w:lang w:val="en-US" w:eastAsia="zh-CN"/>
              </w:rPr>
              <w:t>和考核</w:t>
            </w:r>
            <w:r>
              <w:rPr>
                <w:rFonts w:hint="eastAsia" w:ascii="仿宋" w:hAnsi="仿宋" w:eastAsia="仿宋" w:cs="宋体"/>
                <w:kern w:val="0"/>
                <w:sz w:val="18"/>
                <w:szCs w:val="18"/>
                <w:highlight w:val="none"/>
                <w:lang w:eastAsia="zh-CN"/>
              </w:rPr>
              <w:t>年度辖区内健康素养促进</w:t>
            </w:r>
            <w:r>
              <w:rPr>
                <w:rFonts w:hint="eastAsia" w:ascii="仿宋" w:hAnsi="仿宋" w:eastAsia="仿宋" w:cs="宋体"/>
                <w:kern w:val="0"/>
                <w:sz w:val="18"/>
                <w:szCs w:val="18"/>
                <w:highlight w:val="none"/>
                <w:lang w:val="en-US" w:eastAsia="zh-CN"/>
              </w:rPr>
              <w:t>项目开展</w:t>
            </w:r>
            <w:r>
              <w:rPr>
                <w:rFonts w:hint="eastAsia" w:ascii="仿宋" w:hAnsi="仿宋" w:eastAsia="仿宋" w:cs="宋体"/>
                <w:kern w:val="0"/>
                <w:sz w:val="18"/>
                <w:szCs w:val="18"/>
                <w:highlight w:val="none"/>
                <w:lang w:eastAsia="zh-CN"/>
              </w:rPr>
              <w:t>情况。</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18"/>
                <w:szCs w:val="18"/>
                <w:lang w:eastAsia="zh-CN"/>
              </w:rPr>
            </w:pPr>
            <w:r>
              <w:rPr>
                <w:rFonts w:hint="eastAsia" w:ascii="仿宋" w:hAnsi="仿宋" w:eastAsia="仿宋" w:cs="宋体"/>
                <w:kern w:val="0"/>
                <w:sz w:val="18"/>
                <w:szCs w:val="18"/>
                <w:highlight w:val="none"/>
                <w:lang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default" w:ascii="仿宋" w:hAnsi="仿宋" w:eastAsia="仿宋" w:cs="宋体"/>
                <w:kern w:val="0"/>
                <w:sz w:val="18"/>
                <w:szCs w:val="18"/>
                <w:lang w:val="en-US" w:eastAsia="zh-CN"/>
              </w:rPr>
            </w:pPr>
            <w:r>
              <w:rPr>
                <w:rFonts w:hint="eastAsia" w:ascii="仿宋" w:hAnsi="仿宋" w:eastAsia="仿宋" w:cs="宋体"/>
                <w:kern w:val="0"/>
                <w:sz w:val="18"/>
                <w:szCs w:val="18"/>
                <w:highlight w:val="none"/>
                <w:lang w:val="en-US" w:eastAsia="zh-CN"/>
              </w:rPr>
              <w:t>1.城乡居民健康知识知晓率达到85%，得0.2分，否则不得分；2.</w:t>
            </w:r>
            <w:r>
              <w:rPr>
                <w:rFonts w:hint="eastAsia" w:ascii="仿宋" w:hAnsi="仿宋" w:eastAsia="仿宋" w:cs="宋体"/>
                <w:kern w:val="0"/>
                <w:sz w:val="18"/>
                <w:szCs w:val="18"/>
                <w:highlight w:val="none"/>
                <w:lang w:eastAsia="zh-CN"/>
              </w:rPr>
              <w:t>居民健康素养水平较上年度提高</w:t>
            </w:r>
            <w:r>
              <w:rPr>
                <w:rFonts w:hint="eastAsia" w:ascii="仿宋" w:hAnsi="仿宋" w:eastAsia="仿宋" w:cs="宋体"/>
                <w:kern w:val="0"/>
                <w:sz w:val="18"/>
                <w:szCs w:val="18"/>
                <w:highlight w:val="none"/>
                <w:lang w:val="en-US" w:eastAsia="zh-CN"/>
              </w:rPr>
              <w:t>不少于2%，得0.3分，否则不得分；3.15岁及以上人群烟草使用率较上年度降低不低于0.6个百分点，得0.5分，否则不得分。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16"/>
                <w:szCs w:val="16"/>
                <w:lang w:val="en-US" w:eastAsia="zh-CN"/>
              </w:rPr>
              <w:t>0.444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6" w:hRule="atLeast"/>
          <w:jc w:val="center"/>
        </w:trPr>
        <w:tc>
          <w:tcPr>
            <w:tcW w:w="1122" w:type="dxa"/>
            <w:vMerge w:val="continue"/>
            <w:tcBorders>
              <w:tl2br w:val="nil"/>
              <w:tr2bl w:val="nil"/>
            </w:tcBorders>
            <w:vAlign w:val="center"/>
          </w:tcPr>
          <w:p>
            <w:pPr>
              <w:jc w:val="both"/>
              <w:rPr>
                <w:rFonts w:hint="default" w:ascii="仿宋" w:hAnsi="仿宋" w:eastAsia="仿宋" w:cs="宋体"/>
                <w:kern w:val="0"/>
                <w:sz w:val="20"/>
                <w:szCs w:val="20"/>
                <w:lang w:val="en-US" w:eastAsia="zh-CN"/>
              </w:rPr>
            </w:pPr>
          </w:p>
        </w:tc>
        <w:tc>
          <w:tcPr>
            <w:tcW w:w="1150" w:type="dxa"/>
            <w:tcBorders>
              <w:tl2br w:val="nil"/>
              <w:tr2bl w:val="nil"/>
            </w:tcBorders>
            <w:vAlign w:val="center"/>
          </w:tcPr>
          <w:p>
            <w:pPr>
              <w:jc w:val="center"/>
              <w:rPr>
                <w:rFonts w:hint="default"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地方病防治（1分）</w:t>
            </w:r>
          </w:p>
        </w:tc>
        <w:tc>
          <w:tcPr>
            <w:tcW w:w="1321" w:type="dxa"/>
            <w:tcBorders>
              <w:tl2br w:val="nil"/>
              <w:tr2bl w:val="nil"/>
            </w:tcBorders>
            <w:shd w:val="clear" w:color="auto" w:fill="auto"/>
            <w:vAlign w:val="center"/>
          </w:tcPr>
          <w:p>
            <w:pPr>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highlight w:val="none"/>
                <w:lang w:val="en-US" w:eastAsia="zh-CN"/>
              </w:rPr>
              <w:t>地方病防治</w:t>
            </w:r>
          </w:p>
        </w:tc>
        <w:tc>
          <w:tcPr>
            <w:tcW w:w="659" w:type="dxa"/>
            <w:tcBorders>
              <w:tl2br w:val="nil"/>
              <w:tr2bl w:val="nil"/>
            </w:tcBorders>
            <w:shd w:val="clear" w:color="auto" w:fill="auto"/>
            <w:vAlign w:val="center"/>
          </w:tcPr>
          <w:p>
            <w:pPr>
              <w:widowControl/>
              <w:jc w:val="center"/>
              <w:rPr>
                <w:rFonts w:hint="default" w:ascii="仿宋" w:hAnsi="仿宋" w:eastAsia="仿宋" w:cs="仿宋"/>
                <w:kern w:val="0"/>
                <w:sz w:val="18"/>
                <w:szCs w:val="18"/>
                <w:lang w:val="en-US" w:eastAsia="zh-CN"/>
              </w:rPr>
            </w:pPr>
            <w:r>
              <w:rPr>
                <w:rFonts w:hint="eastAsia" w:ascii="仿宋" w:hAnsi="仿宋" w:eastAsia="仿宋" w:cs="仿宋"/>
                <w:kern w:val="0"/>
                <w:sz w:val="18"/>
                <w:szCs w:val="18"/>
                <w:highlight w:val="none"/>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仿宋"/>
                <w:kern w:val="0"/>
                <w:sz w:val="18"/>
                <w:szCs w:val="18"/>
                <w:lang w:val="en-US" w:eastAsia="zh-CN"/>
              </w:rPr>
            </w:pPr>
            <w:r>
              <w:rPr>
                <w:rFonts w:hint="eastAsia" w:ascii="仿宋" w:hAnsi="仿宋" w:eastAsia="仿宋" w:cs="仿宋"/>
                <w:kern w:val="0"/>
                <w:sz w:val="18"/>
                <w:szCs w:val="18"/>
                <w:highlight w:val="none"/>
                <w:lang w:val="en-US" w:eastAsia="zh-CN"/>
              </w:rPr>
              <w:t>反映年度辖区内重点地方病的防控及消除情况</w:t>
            </w:r>
          </w:p>
        </w:tc>
        <w:tc>
          <w:tcPr>
            <w:tcW w:w="750" w:type="dxa"/>
            <w:tcBorders>
              <w:tl2br w:val="nil"/>
              <w:tr2bl w:val="nil"/>
            </w:tcBorders>
            <w:shd w:val="clear" w:color="auto" w:fill="auto"/>
            <w:vAlign w:val="center"/>
          </w:tcPr>
          <w:p>
            <w:pPr>
              <w:widowControl/>
              <w:jc w:val="center"/>
              <w:rPr>
                <w:rFonts w:hint="eastAsia" w:ascii="仿宋" w:hAnsi="仿宋" w:eastAsia="仿宋" w:cs="仿宋"/>
                <w:kern w:val="0"/>
                <w:sz w:val="18"/>
                <w:szCs w:val="18"/>
                <w:lang w:eastAsia="zh-CN"/>
              </w:rPr>
            </w:pPr>
            <w:r>
              <w:rPr>
                <w:rFonts w:hint="eastAsia" w:ascii="仿宋" w:hAnsi="仿宋" w:eastAsia="仿宋" w:cs="宋体"/>
                <w:kern w:val="0"/>
                <w:sz w:val="18"/>
                <w:szCs w:val="18"/>
                <w:highlight w:val="none"/>
                <w:lang w:eastAsia="zh-CN"/>
              </w:rPr>
              <w:t>计划标准</w:t>
            </w:r>
          </w:p>
        </w:tc>
        <w:tc>
          <w:tcPr>
            <w:tcW w:w="5139" w:type="dxa"/>
            <w:tcBorders>
              <w:tl2br w:val="nil"/>
              <w:tr2bl w:val="nil"/>
            </w:tcBorders>
            <w:shd w:val="clear" w:color="auto" w:fill="auto"/>
            <w:vAlign w:val="center"/>
          </w:tcPr>
          <w:p>
            <w:pPr>
              <w:widowControl/>
              <w:numPr>
                <w:ilvl w:val="0"/>
                <w:numId w:val="0"/>
              </w:numPr>
              <w:spacing w:line="240" w:lineRule="auto"/>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 xml:space="preserve">                                 </w:t>
            </w:r>
          </w:p>
          <w:p>
            <w:pPr>
              <w:widowControl/>
              <w:numPr>
                <w:ilvl w:val="0"/>
                <w:numId w:val="6"/>
              </w:numPr>
              <w:spacing w:line="240" w:lineRule="auto"/>
              <w:rPr>
                <w:rFonts w:hint="eastAsia" w:ascii="仿宋" w:hAnsi="仿宋" w:eastAsia="仿宋" w:cs="仿宋"/>
                <w:sz w:val="18"/>
                <w:szCs w:val="18"/>
                <w:highlight w:val="none"/>
              </w:rPr>
            </w:pPr>
            <w:r>
              <w:rPr>
                <w:rFonts w:hint="eastAsia" w:ascii="仿宋" w:hAnsi="仿宋" w:eastAsia="仿宋" w:cs="仿宋"/>
                <w:kern w:val="0"/>
                <w:sz w:val="18"/>
                <w:szCs w:val="18"/>
                <w:highlight w:val="none"/>
                <w:lang w:val="en-US" w:eastAsia="zh-CN"/>
              </w:rPr>
              <w:t>对临猗县氟区328个病区村进行地方性氟中毒监测。生活</w:t>
            </w:r>
            <w:r>
              <w:rPr>
                <w:rFonts w:hint="eastAsia" w:ascii="仿宋" w:hAnsi="仿宋" w:eastAsia="仿宋" w:cs="仿宋"/>
                <w:kern w:val="0"/>
                <w:sz w:val="18"/>
                <w:szCs w:val="18"/>
                <w:highlight w:val="none"/>
              </w:rPr>
              <w:t>饮水氟含量符合国家生活饮用水卫生标准（GB5749）</w:t>
            </w:r>
            <w:r>
              <w:rPr>
                <w:rFonts w:hint="eastAsia" w:ascii="仿宋" w:hAnsi="仿宋" w:eastAsia="仿宋" w:cs="仿宋"/>
                <w:kern w:val="0"/>
                <w:sz w:val="18"/>
                <w:szCs w:val="18"/>
                <w:highlight w:val="none"/>
                <w:lang w:val="en-US" w:eastAsia="zh-CN"/>
              </w:rPr>
              <w:t>；</w:t>
            </w:r>
            <w:r>
              <w:rPr>
                <w:rFonts w:hint="eastAsia" w:ascii="仿宋" w:hAnsi="仿宋" w:eastAsia="仿宋" w:cs="仿宋"/>
                <w:kern w:val="0"/>
                <w:sz w:val="18"/>
                <w:szCs w:val="18"/>
                <w:highlight w:val="none"/>
              </w:rPr>
              <w:t>当地出生居住的8-12周岁儿童氟斑牙患病率≤30</w:t>
            </w:r>
            <w:r>
              <w:rPr>
                <w:rFonts w:hint="eastAsia" w:ascii="仿宋" w:hAnsi="仿宋" w:eastAsia="仿宋" w:cs="仿宋"/>
                <w:sz w:val="18"/>
                <w:szCs w:val="18"/>
                <w:highlight w:val="none"/>
              </w:rPr>
              <w:t>%</w:t>
            </w:r>
            <w:r>
              <w:rPr>
                <w:rFonts w:hint="eastAsia" w:ascii="仿宋" w:hAnsi="仿宋" w:eastAsia="仿宋" w:cs="仿宋"/>
                <w:sz w:val="18"/>
                <w:szCs w:val="18"/>
                <w:highlight w:val="none"/>
                <w:lang w:val="en-US" w:eastAsia="zh-CN"/>
              </w:rPr>
              <w:t>；完成氟骨症患者管理，得0.4分，少完成一项扣0.1分；</w:t>
            </w:r>
          </w:p>
          <w:p>
            <w:pPr>
              <w:widowControl/>
              <w:numPr>
                <w:ilvl w:val="0"/>
                <w:numId w:val="6"/>
              </w:numPr>
              <w:spacing w:line="240" w:lineRule="auto"/>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8-10儿童尿碘、孕妇尿碘、碘盐含量均合规</w:t>
            </w:r>
            <w:r>
              <w:rPr>
                <w:rFonts w:hint="eastAsia" w:ascii="仿宋" w:hAnsi="仿宋" w:eastAsia="仿宋" w:cs="仿宋"/>
                <w:sz w:val="18"/>
                <w:szCs w:val="18"/>
                <w:highlight w:val="none"/>
                <w:lang w:eastAsia="zh-CN"/>
              </w:rPr>
              <w:t>，</w:t>
            </w:r>
            <w:r>
              <w:rPr>
                <w:rFonts w:hint="eastAsia" w:ascii="仿宋" w:hAnsi="仿宋" w:eastAsia="仿宋" w:cs="仿宋"/>
                <w:sz w:val="18"/>
                <w:szCs w:val="18"/>
                <w:highlight w:val="none"/>
                <w:lang w:val="en-US" w:eastAsia="zh-CN"/>
              </w:rPr>
              <w:t>达到</w:t>
            </w:r>
            <w:r>
              <w:rPr>
                <w:rFonts w:hint="eastAsia" w:ascii="仿宋" w:hAnsi="仿宋" w:eastAsia="仿宋" w:cs="仿宋"/>
                <w:kern w:val="0"/>
                <w:sz w:val="18"/>
                <w:szCs w:val="18"/>
                <w:highlight w:val="none"/>
              </w:rPr>
              <w:t>儿童尿碘中位数≥100μg/L</w:t>
            </w:r>
            <w:r>
              <w:rPr>
                <w:rFonts w:hint="eastAsia" w:ascii="仿宋" w:hAnsi="仿宋" w:eastAsia="仿宋" w:cs="仿宋"/>
                <w:kern w:val="0"/>
                <w:sz w:val="18"/>
                <w:szCs w:val="18"/>
                <w:highlight w:val="none"/>
                <w:lang w:eastAsia="zh-CN"/>
              </w:rPr>
              <w:t>、</w:t>
            </w:r>
            <w:r>
              <w:rPr>
                <w:rFonts w:hint="eastAsia" w:ascii="仿宋" w:hAnsi="仿宋" w:eastAsia="仿宋" w:cs="仿宋"/>
                <w:kern w:val="0"/>
                <w:sz w:val="18"/>
                <w:szCs w:val="18"/>
                <w:highlight w:val="none"/>
              </w:rPr>
              <w:t>孕妇尿碘中位数≥150μg/L</w:t>
            </w:r>
            <w:r>
              <w:rPr>
                <w:rFonts w:hint="eastAsia" w:ascii="仿宋" w:hAnsi="仿宋" w:eastAsia="仿宋" w:cs="仿宋"/>
                <w:kern w:val="0"/>
                <w:sz w:val="18"/>
                <w:szCs w:val="18"/>
                <w:highlight w:val="none"/>
                <w:lang w:eastAsia="zh-CN"/>
              </w:rPr>
              <w:t>、</w:t>
            </w:r>
            <w:r>
              <w:rPr>
                <w:rFonts w:hint="eastAsia" w:ascii="仿宋" w:hAnsi="仿宋" w:eastAsia="仿宋" w:cs="仿宋"/>
                <w:kern w:val="0"/>
                <w:sz w:val="18"/>
                <w:szCs w:val="18"/>
                <w:highlight w:val="none"/>
              </w:rPr>
              <w:t>合格碘盐覆盖率&gt;9</w:t>
            </w:r>
            <w:r>
              <w:rPr>
                <w:rFonts w:hint="eastAsia" w:ascii="仿宋" w:hAnsi="仿宋" w:eastAsia="仿宋" w:cs="仿宋"/>
                <w:kern w:val="0"/>
                <w:sz w:val="18"/>
                <w:szCs w:val="18"/>
                <w:highlight w:val="none"/>
                <w:lang w:val="en-US" w:eastAsia="zh-CN"/>
              </w:rPr>
              <w:t>5</w:t>
            </w:r>
            <w:r>
              <w:rPr>
                <w:rFonts w:hint="eastAsia" w:ascii="仿宋" w:hAnsi="仿宋" w:eastAsia="仿宋" w:cs="仿宋"/>
                <w:kern w:val="0"/>
                <w:sz w:val="18"/>
                <w:szCs w:val="18"/>
                <w:highlight w:val="none"/>
              </w:rPr>
              <w:t xml:space="preserve">% </w:t>
            </w:r>
            <w:r>
              <w:rPr>
                <w:rFonts w:hint="eastAsia" w:ascii="仿宋" w:hAnsi="仿宋" w:eastAsia="仿宋" w:cs="仿宋"/>
                <w:kern w:val="0"/>
                <w:sz w:val="18"/>
                <w:szCs w:val="18"/>
                <w:highlight w:val="none"/>
                <w:lang w:eastAsia="zh-CN"/>
              </w:rPr>
              <w:t>，</w:t>
            </w:r>
            <w:r>
              <w:rPr>
                <w:rFonts w:hint="eastAsia" w:ascii="仿宋" w:hAnsi="仿宋" w:eastAsia="仿宋" w:cs="仿宋"/>
                <w:sz w:val="18"/>
                <w:szCs w:val="18"/>
                <w:highlight w:val="none"/>
                <w:lang w:val="en-US" w:eastAsia="zh-CN"/>
              </w:rPr>
              <w:t>符合得0.4分，否则一项不符合扣0.1分</w:t>
            </w:r>
            <w:r>
              <w:rPr>
                <w:rFonts w:hint="eastAsia" w:ascii="仿宋" w:hAnsi="仿宋" w:eastAsia="仿宋" w:cs="仿宋"/>
                <w:sz w:val="18"/>
                <w:szCs w:val="18"/>
                <w:highlight w:val="none"/>
              </w:rPr>
              <w:t>。</w:t>
            </w:r>
          </w:p>
          <w:p>
            <w:pPr>
              <w:widowControl/>
              <w:tabs>
                <w:tab w:val="center" w:pos="4201"/>
                <w:tab w:val="right" w:leader="dot" w:pos="9298"/>
              </w:tabs>
              <w:spacing w:line="240" w:lineRule="auto"/>
              <w:jc w:val="left"/>
              <w:rPr>
                <w:rFonts w:hint="default" w:ascii="仿宋" w:hAnsi="仿宋" w:eastAsia="仿宋" w:cs="仿宋"/>
                <w:sz w:val="18"/>
                <w:szCs w:val="18"/>
                <w:lang w:val="en-US" w:eastAsia="zh-CN"/>
              </w:rPr>
            </w:pPr>
            <w:r>
              <w:rPr>
                <w:rFonts w:hint="eastAsia" w:ascii="仿宋" w:hAnsi="仿宋" w:eastAsia="仿宋" w:cs="宋体"/>
                <w:kern w:val="0"/>
                <w:sz w:val="18"/>
                <w:szCs w:val="18"/>
                <w:highlight w:val="none"/>
                <w:lang w:val="en-US" w:eastAsia="zh-CN"/>
              </w:rPr>
              <w:t>3.完成布病年度高危人群筛查200人、防治干预200人、病例管理80次的任务，得0.2分，否则不得分；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122" w:type="dxa"/>
            <w:vMerge w:val="continue"/>
            <w:tcBorders>
              <w:tl2br w:val="nil"/>
              <w:tr2bl w:val="nil"/>
            </w:tcBorders>
            <w:vAlign w:val="center"/>
          </w:tcPr>
          <w:p>
            <w:pPr>
              <w:jc w:val="center"/>
              <w:rPr>
                <w:rFonts w:ascii="仿宋" w:hAnsi="仿宋" w:eastAsia="仿宋" w:cs="宋体"/>
                <w:kern w:val="0"/>
                <w:sz w:val="20"/>
                <w:szCs w:val="20"/>
              </w:rPr>
            </w:pPr>
          </w:p>
        </w:tc>
        <w:tc>
          <w:tcPr>
            <w:tcW w:w="1150" w:type="dxa"/>
            <w:tcBorders>
              <w:tl2br w:val="nil"/>
              <w:tr2bl w:val="nil"/>
            </w:tcBorders>
            <w:vAlign w:val="center"/>
          </w:tcPr>
          <w:p>
            <w:pPr>
              <w:jc w:val="center"/>
              <w:rPr>
                <w:rFonts w:hint="default"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职业病防治（1分）</w:t>
            </w:r>
          </w:p>
        </w:tc>
        <w:tc>
          <w:tcPr>
            <w:tcW w:w="1321" w:type="dxa"/>
            <w:tcBorders>
              <w:tl2br w:val="nil"/>
              <w:tr2bl w:val="nil"/>
            </w:tcBorders>
            <w:shd w:val="clear" w:color="auto" w:fill="auto"/>
            <w:vAlign w:val="center"/>
          </w:tcPr>
          <w:p>
            <w:pPr>
              <w:jc w:val="center"/>
              <w:rPr>
                <w:rFonts w:hint="eastAsia" w:ascii="仿宋" w:hAnsi="仿宋" w:eastAsia="仿宋" w:cs="宋体"/>
                <w:kern w:val="0"/>
                <w:sz w:val="18"/>
                <w:szCs w:val="18"/>
                <w:lang w:eastAsia="zh-CN"/>
              </w:rPr>
            </w:pPr>
            <w:r>
              <w:rPr>
                <w:rFonts w:hint="eastAsia" w:ascii="仿宋" w:hAnsi="仿宋" w:eastAsia="仿宋" w:cs="宋体"/>
                <w:kern w:val="0"/>
                <w:sz w:val="18"/>
                <w:szCs w:val="18"/>
                <w:highlight w:val="none"/>
                <w:lang w:val="en-US" w:eastAsia="zh-CN"/>
              </w:rPr>
              <w:t>职业病防治</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18"/>
                <w:szCs w:val="18"/>
                <w:lang w:val="en-US" w:eastAsia="zh-CN"/>
              </w:rPr>
            </w:pPr>
            <w:r>
              <w:rPr>
                <w:rFonts w:hint="eastAsia" w:ascii="仿宋" w:hAnsi="仿宋" w:eastAsia="仿宋" w:cs="宋体"/>
                <w:kern w:val="0"/>
                <w:sz w:val="18"/>
                <w:szCs w:val="18"/>
                <w:highlight w:val="none"/>
                <w:lang w:val="en-US" w:eastAsia="zh-CN"/>
              </w:rPr>
              <w:t>1</w:t>
            </w:r>
          </w:p>
        </w:tc>
        <w:tc>
          <w:tcPr>
            <w:tcW w:w="4030" w:type="dxa"/>
            <w:tcBorders>
              <w:tl2br w:val="nil"/>
              <w:tr2bl w:val="nil"/>
            </w:tcBorders>
            <w:shd w:val="clear" w:color="auto" w:fill="auto"/>
            <w:vAlign w:val="center"/>
          </w:tcPr>
          <w:p>
            <w:pPr>
              <w:widowControl/>
              <w:jc w:val="left"/>
              <w:rPr>
                <w:rFonts w:hint="default" w:ascii="仿宋" w:hAnsi="仿宋" w:eastAsia="仿宋" w:cs="宋体"/>
                <w:kern w:val="0"/>
                <w:sz w:val="18"/>
                <w:szCs w:val="18"/>
                <w:lang w:val="en-US" w:eastAsia="zh-CN"/>
              </w:rPr>
            </w:pPr>
            <w:r>
              <w:rPr>
                <w:rFonts w:hint="eastAsia" w:ascii="仿宋" w:hAnsi="仿宋" w:eastAsia="仿宋" w:cs="宋体"/>
                <w:kern w:val="0"/>
                <w:sz w:val="18"/>
                <w:szCs w:val="18"/>
                <w:highlight w:val="none"/>
                <w:lang w:val="en-US" w:eastAsia="zh-CN"/>
              </w:rPr>
              <w:t>反映辖区内职业病及重点职业病的监测情况</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18"/>
                <w:szCs w:val="18"/>
                <w:lang w:eastAsia="zh-CN"/>
              </w:rPr>
            </w:pPr>
            <w:r>
              <w:rPr>
                <w:rFonts w:hint="eastAsia" w:ascii="仿宋" w:hAnsi="仿宋" w:eastAsia="仿宋" w:cs="宋体"/>
                <w:kern w:val="0"/>
                <w:sz w:val="18"/>
                <w:szCs w:val="18"/>
                <w:highlight w:val="none"/>
                <w:lang w:eastAsia="zh-CN"/>
              </w:rPr>
              <w:t>计划标准</w:t>
            </w:r>
          </w:p>
        </w:tc>
        <w:tc>
          <w:tcPr>
            <w:tcW w:w="5139" w:type="dxa"/>
            <w:tcBorders>
              <w:tl2br w:val="nil"/>
              <w:tr2bl w:val="nil"/>
            </w:tcBorders>
            <w:shd w:val="clear" w:color="auto" w:fill="auto"/>
            <w:vAlign w:val="center"/>
          </w:tcPr>
          <w:p>
            <w:pPr>
              <w:widowControl/>
              <w:numPr>
                <w:ilvl w:val="0"/>
                <w:numId w:val="0"/>
              </w:numPr>
              <w:spacing w:line="240" w:lineRule="auto"/>
              <w:jc w:val="left"/>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1.完成职业病危害因素企业监测任务20家，得0.4分，否则不得分；                                                  2.完成非医疗机构放射性危害因素任务，得0.3分，否则不得分。</w:t>
            </w:r>
          </w:p>
          <w:p>
            <w:pPr>
              <w:pStyle w:val="2"/>
              <w:numPr>
                <w:ilvl w:val="0"/>
                <w:numId w:val="0"/>
              </w:numPr>
              <w:ind w:left="0" w:leftChars="0" w:firstLine="0" w:firstLineChars="0"/>
              <w:rPr>
                <w:rFonts w:hint="default" w:ascii="仿宋" w:hAnsi="仿宋" w:eastAsia="仿宋" w:cs="宋体"/>
                <w:kern w:val="0"/>
                <w:sz w:val="18"/>
                <w:szCs w:val="18"/>
                <w:lang w:val="en-US" w:eastAsia="zh-CN"/>
              </w:rPr>
            </w:pPr>
            <w:r>
              <w:rPr>
                <w:rFonts w:hint="eastAsia"/>
                <w:lang w:val="en-US" w:eastAsia="zh-CN"/>
              </w:rPr>
              <w:t>3</w:t>
            </w:r>
            <w:r>
              <w:rPr>
                <w:rFonts w:hint="eastAsia" w:ascii="仿宋" w:hAnsi="仿宋" w:eastAsia="仿宋" w:cs="仿宋"/>
                <w:kern w:val="2"/>
                <w:sz w:val="18"/>
                <w:szCs w:val="18"/>
                <w:highlight w:val="none"/>
                <w:lang w:val="en-US" w:eastAsia="zh-CN" w:bidi="ar-SA"/>
              </w:rPr>
              <w:t>.年度监测任务及监测内容明确，得0.3分，否则不得分。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jc w:val="center"/>
        </w:trPr>
        <w:tc>
          <w:tcPr>
            <w:tcW w:w="1122" w:type="dxa"/>
            <w:vMerge w:val="restart"/>
            <w:tcBorders>
              <w:tl2br w:val="nil"/>
              <w:tr2bl w:val="nil"/>
            </w:tcBorders>
            <w:vAlign w:val="center"/>
          </w:tcPr>
          <w:p>
            <w:pPr>
              <w:jc w:val="center"/>
              <w:rPr>
                <w:rFonts w:hint="default"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产出    （40分）</w:t>
            </w:r>
          </w:p>
        </w:tc>
        <w:tc>
          <w:tcPr>
            <w:tcW w:w="1150" w:type="dxa"/>
            <w:vMerge w:val="restart"/>
            <w:tcBorders>
              <w:tl2br w:val="nil"/>
              <w:tr2bl w:val="nil"/>
            </w:tcBorders>
            <w:vAlign w:val="center"/>
          </w:tcPr>
          <w:p>
            <w:pPr>
              <w:jc w:val="center"/>
              <w:rPr>
                <w:rFonts w:hint="default"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重大疾病与健康危害因素监测  （1.5分）</w:t>
            </w:r>
          </w:p>
        </w:tc>
        <w:tc>
          <w:tcPr>
            <w:tcW w:w="1321" w:type="dxa"/>
            <w:tcBorders>
              <w:tl2br w:val="nil"/>
              <w:tr2bl w:val="nil"/>
            </w:tcBorders>
            <w:shd w:val="clear" w:color="auto" w:fill="auto"/>
            <w:vAlign w:val="center"/>
          </w:tcPr>
          <w:p>
            <w:pPr>
              <w:jc w:val="center"/>
              <w:rPr>
                <w:rFonts w:hint="default" w:ascii="仿宋" w:hAnsi="仿宋" w:eastAsia="仿宋" w:cs="宋体"/>
                <w:kern w:val="0"/>
                <w:sz w:val="18"/>
                <w:szCs w:val="18"/>
                <w:lang w:val="en-US" w:eastAsia="zh-CN"/>
              </w:rPr>
            </w:pPr>
            <w:r>
              <w:rPr>
                <w:rFonts w:hint="eastAsia" w:ascii="仿宋" w:hAnsi="仿宋" w:eastAsia="仿宋" w:cs="宋体"/>
                <w:kern w:val="0"/>
                <w:sz w:val="18"/>
                <w:szCs w:val="18"/>
                <w:highlight w:val="none"/>
                <w:lang w:val="en-US" w:eastAsia="zh-CN"/>
              </w:rPr>
              <w:t>疾病监测</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18"/>
                <w:szCs w:val="18"/>
                <w:lang w:val="en-US" w:eastAsia="zh-CN"/>
              </w:rPr>
            </w:pPr>
            <w:r>
              <w:rPr>
                <w:rFonts w:hint="eastAsia" w:ascii="仿宋" w:hAnsi="仿宋" w:eastAsia="仿宋" w:cs="宋体"/>
                <w:kern w:val="0"/>
                <w:sz w:val="18"/>
                <w:szCs w:val="18"/>
                <w:highlight w:val="none"/>
                <w:lang w:val="en-US" w:eastAsia="zh-CN"/>
              </w:rPr>
              <w:t>1</w:t>
            </w:r>
          </w:p>
        </w:tc>
        <w:tc>
          <w:tcPr>
            <w:tcW w:w="4030" w:type="dxa"/>
            <w:tcBorders>
              <w:tl2br w:val="nil"/>
              <w:tr2bl w:val="nil"/>
            </w:tcBorders>
            <w:shd w:val="clear" w:color="auto" w:fill="auto"/>
            <w:vAlign w:val="center"/>
          </w:tcPr>
          <w:p>
            <w:pPr>
              <w:widowControl/>
              <w:jc w:val="left"/>
              <w:rPr>
                <w:rFonts w:hint="default" w:ascii="仿宋" w:hAnsi="仿宋" w:eastAsia="仿宋" w:cs="宋体"/>
                <w:kern w:val="0"/>
                <w:sz w:val="18"/>
                <w:szCs w:val="18"/>
                <w:lang w:val="en-US" w:eastAsia="zh-CN"/>
              </w:rPr>
            </w:pPr>
            <w:r>
              <w:rPr>
                <w:rFonts w:hint="eastAsia" w:ascii="仿宋" w:hAnsi="仿宋" w:eastAsia="仿宋" w:cs="宋体"/>
                <w:kern w:val="0"/>
                <w:sz w:val="18"/>
                <w:szCs w:val="18"/>
                <w:highlight w:val="none"/>
                <w:lang w:val="en-US" w:eastAsia="zh-CN"/>
              </w:rPr>
              <w:t>是否及时掌握辖区内传染病病情情况及流行动态，对异常状况及时做出预警。</w:t>
            </w:r>
          </w:p>
        </w:tc>
        <w:tc>
          <w:tcPr>
            <w:tcW w:w="750" w:type="dxa"/>
            <w:tcBorders>
              <w:tl2br w:val="nil"/>
              <w:tr2bl w:val="nil"/>
            </w:tcBorders>
            <w:shd w:val="clear" w:color="auto" w:fill="auto"/>
            <w:vAlign w:val="center"/>
          </w:tcPr>
          <w:p>
            <w:pPr>
              <w:widowControl/>
              <w:jc w:val="center"/>
              <w:rPr>
                <w:rFonts w:hint="default" w:ascii="仿宋" w:hAnsi="仿宋" w:eastAsia="仿宋" w:cs="宋体"/>
                <w:kern w:val="0"/>
                <w:sz w:val="18"/>
                <w:szCs w:val="18"/>
                <w:lang w:val="en-US" w:eastAsia="zh-CN"/>
              </w:rPr>
            </w:pPr>
            <w:r>
              <w:rPr>
                <w:rFonts w:hint="eastAsia" w:ascii="仿宋" w:hAnsi="仿宋" w:eastAsia="仿宋" w:cs="宋体"/>
                <w:kern w:val="0"/>
                <w:sz w:val="18"/>
                <w:szCs w:val="18"/>
                <w:highlight w:val="none"/>
                <w:lang w:val="en-US" w:eastAsia="zh-CN"/>
              </w:rPr>
              <w:t>计划标准</w:t>
            </w:r>
          </w:p>
        </w:tc>
        <w:tc>
          <w:tcPr>
            <w:tcW w:w="5139" w:type="dxa"/>
            <w:tcBorders>
              <w:tl2br w:val="nil"/>
              <w:tr2bl w:val="nil"/>
            </w:tcBorders>
            <w:shd w:val="clear" w:color="auto" w:fill="auto"/>
            <w:vAlign w:val="center"/>
          </w:tcPr>
          <w:p>
            <w:pPr>
              <w:widowControl/>
              <w:numPr>
                <w:ilvl w:val="0"/>
                <w:numId w:val="7"/>
              </w:numPr>
              <w:jc w:val="left"/>
              <w:rPr>
                <w:rFonts w:hint="eastAsia" w:ascii="仿宋" w:hAnsi="仿宋" w:eastAsia="仿宋" w:cs="宋体"/>
                <w:kern w:val="0"/>
                <w:sz w:val="18"/>
                <w:szCs w:val="18"/>
                <w:highlight w:val="none"/>
                <w:lang w:val="en-US" w:eastAsia="zh-CN"/>
              </w:rPr>
            </w:pPr>
            <w:r>
              <w:rPr>
                <w:rFonts w:hint="eastAsia" w:ascii="仿宋" w:hAnsi="仿宋" w:eastAsia="仿宋" w:cs="宋体"/>
                <w:kern w:val="0"/>
                <w:sz w:val="18"/>
                <w:szCs w:val="18"/>
                <w:highlight w:val="none"/>
                <w:lang w:val="en-US" w:eastAsia="zh-CN"/>
              </w:rPr>
              <w:t>完成年度重点寄生虫病监测和干预，得0.2分，否则不得分；2.100%及时发现报告人禽流感、SARS等突发急性传染病疫情，得0.2分，否则不得分；</w:t>
            </w:r>
          </w:p>
          <w:p>
            <w:pPr>
              <w:widowControl/>
              <w:numPr>
                <w:ilvl w:val="0"/>
                <w:numId w:val="0"/>
              </w:numPr>
              <w:jc w:val="left"/>
              <w:rPr>
                <w:rFonts w:hint="eastAsia" w:ascii="仿宋" w:hAnsi="仿宋" w:eastAsia="仿宋" w:cs="宋体"/>
                <w:kern w:val="0"/>
                <w:sz w:val="18"/>
                <w:szCs w:val="18"/>
                <w:highlight w:val="none"/>
                <w:lang w:val="en-US" w:eastAsia="zh-CN"/>
              </w:rPr>
            </w:pPr>
            <w:r>
              <w:rPr>
                <w:rFonts w:hint="eastAsia" w:ascii="仿宋" w:hAnsi="仿宋" w:eastAsia="仿宋" w:cs="宋体"/>
                <w:kern w:val="0"/>
                <w:sz w:val="18"/>
                <w:szCs w:val="18"/>
                <w:highlight w:val="none"/>
                <w:lang w:val="en-US" w:eastAsia="zh-CN"/>
              </w:rPr>
              <w:t>3.100%及时发现不明原因肺炎病例，开展不明原因肺炎病例的追踪、排查和疫情处理，得0.2分，否则不得分；</w:t>
            </w:r>
          </w:p>
          <w:p>
            <w:pPr>
              <w:widowControl/>
              <w:numPr>
                <w:ilvl w:val="0"/>
                <w:numId w:val="0"/>
              </w:numPr>
              <w:ind w:left="0" w:leftChars="0" w:firstLine="0" w:firstLineChars="0"/>
              <w:jc w:val="left"/>
              <w:rPr>
                <w:rFonts w:hint="default" w:ascii="仿宋" w:hAnsi="仿宋" w:eastAsia="仿宋" w:cs="宋体"/>
                <w:kern w:val="0"/>
                <w:sz w:val="18"/>
                <w:szCs w:val="18"/>
                <w:lang w:val="en-US" w:eastAsia="zh-CN"/>
              </w:rPr>
            </w:pPr>
            <w:r>
              <w:rPr>
                <w:rFonts w:hint="eastAsia" w:ascii="仿宋" w:hAnsi="仿宋" w:eastAsia="仿宋" w:cs="宋体"/>
                <w:kern w:val="0"/>
                <w:sz w:val="18"/>
                <w:szCs w:val="18"/>
                <w:highlight w:val="none"/>
                <w:lang w:val="en-US" w:eastAsia="zh-CN"/>
              </w:rPr>
              <w:t>4</w:t>
            </w:r>
            <w:r>
              <w:rPr>
                <w:rFonts w:hint="eastAsia" w:ascii="仿宋" w:hAnsi="仿宋" w:eastAsia="仿宋" w:cs="宋体"/>
                <w:kern w:val="0"/>
                <w:sz w:val="18"/>
                <w:szCs w:val="18"/>
                <w:lang w:val="en-US" w:eastAsia="zh-CN"/>
              </w:rPr>
              <w:t>完成流感、布病、流行性出血热、手足口等重点传染病的监测，得0.2分，否则不得分。 5</w:t>
            </w:r>
            <w:r>
              <w:rPr>
                <w:rFonts w:hint="eastAsia" w:ascii="仿宋" w:hAnsi="仿宋" w:eastAsia="仿宋" w:cs="宋体"/>
                <w:kern w:val="0"/>
                <w:sz w:val="18"/>
                <w:szCs w:val="18"/>
                <w:highlight w:val="none"/>
                <w:lang w:val="en-US" w:eastAsia="zh-CN"/>
              </w:rPr>
              <w:t>.100%及时发现人间鼠疫疫情，得0.2分，否则不得分。</w:t>
            </w:r>
          </w:p>
        </w:tc>
        <w:tc>
          <w:tcPr>
            <w:tcW w:w="713"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1122" w:type="dxa"/>
            <w:vMerge w:val="continue"/>
            <w:tcBorders>
              <w:tl2br w:val="nil"/>
              <w:tr2bl w:val="nil"/>
            </w:tcBorders>
            <w:vAlign w:val="center"/>
          </w:tcPr>
          <w:p>
            <w:pPr>
              <w:jc w:val="center"/>
              <w:rPr>
                <w:rFonts w:hint="default" w:ascii="仿宋" w:hAnsi="仿宋" w:eastAsia="仿宋" w:cs="宋体"/>
                <w:kern w:val="0"/>
                <w:sz w:val="18"/>
                <w:szCs w:val="18"/>
                <w:lang w:val="en-US" w:eastAsia="zh-CN"/>
              </w:rPr>
            </w:pPr>
          </w:p>
        </w:tc>
        <w:tc>
          <w:tcPr>
            <w:tcW w:w="1150" w:type="dxa"/>
            <w:vMerge w:val="continue"/>
            <w:tcBorders>
              <w:tl2br w:val="nil"/>
              <w:tr2bl w:val="nil"/>
            </w:tcBorders>
            <w:vAlign w:val="center"/>
          </w:tcPr>
          <w:p>
            <w:pPr>
              <w:jc w:val="center"/>
              <w:rPr>
                <w:rFonts w:hint="eastAsia" w:ascii="仿宋" w:hAnsi="仿宋" w:eastAsia="仿宋" w:cs="宋体"/>
                <w:kern w:val="0"/>
                <w:sz w:val="18"/>
                <w:szCs w:val="18"/>
                <w:lang w:eastAsia="zh-CN"/>
              </w:rPr>
            </w:pPr>
          </w:p>
        </w:tc>
        <w:tc>
          <w:tcPr>
            <w:tcW w:w="1321" w:type="dxa"/>
            <w:tcBorders>
              <w:tl2br w:val="nil"/>
              <w:tr2bl w:val="nil"/>
            </w:tcBorders>
            <w:shd w:val="clear" w:color="auto" w:fill="auto"/>
            <w:vAlign w:val="center"/>
          </w:tcPr>
          <w:p>
            <w:pPr>
              <w:jc w:val="center"/>
              <w:rPr>
                <w:rFonts w:hint="eastAsia" w:ascii="仿宋" w:hAnsi="仿宋" w:eastAsia="仿宋" w:cs="宋体"/>
                <w:kern w:val="0"/>
                <w:sz w:val="18"/>
                <w:szCs w:val="18"/>
                <w:lang w:eastAsia="zh-CN"/>
              </w:rPr>
            </w:pPr>
            <w:r>
              <w:rPr>
                <w:rFonts w:hint="eastAsia" w:ascii="仿宋" w:hAnsi="仿宋" w:eastAsia="仿宋" w:cs="宋体"/>
                <w:kern w:val="0"/>
                <w:sz w:val="18"/>
                <w:szCs w:val="18"/>
                <w:highlight w:val="none"/>
                <w:lang w:val="en-US" w:eastAsia="zh-CN"/>
              </w:rPr>
              <w:t>健康危害因素监测</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18"/>
                <w:szCs w:val="18"/>
                <w:lang w:val="en-US" w:eastAsia="zh-CN"/>
              </w:rPr>
            </w:pPr>
            <w:r>
              <w:rPr>
                <w:rFonts w:hint="eastAsia" w:ascii="仿宋" w:hAnsi="仿宋" w:eastAsia="仿宋" w:cs="宋体"/>
                <w:kern w:val="0"/>
                <w:sz w:val="18"/>
                <w:szCs w:val="18"/>
                <w:highlight w:val="none"/>
                <w:lang w:val="en-US" w:eastAsia="zh-CN"/>
              </w:rPr>
              <w:t>0.5</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18"/>
                <w:szCs w:val="18"/>
                <w:lang w:eastAsia="zh-CN"/>
              </w:rPr>
            </w:pPr>
            <w:r>
              <w:rPr>
                <w:rFonts w:hint="eastAsia" w:ascii="仿宋" w:hAnsi="仿宋" w:eastAsia="仿宋" w:cs="宋体"/>
                <w:kern w:val="0"/>
                <w:sz w:val="18"/>
                <w:szCs w:val="18"/>
                <w:highlight w:val="none"/>
                <w:lang w:val="en-US" w:eastAsia="zh-CN"/>
              </w:rPr>
              <w:t>是否对辖区内涉及青少年烟草流行、饮用水、环境卫生、食品安全、妇幼卫生等风险因素进行规范监测。</w:t>
            </w:r>
          </w:p>
        </w:tc>
        <w:tc>
          <w:tcPr>
            <w:tcW w:w="750" w:type="dxa"/>
            <w:tcBorders>
              <w:tl2br w:val="nil"/>
              <w:tr2bl w:val="nil"/>
            </w:tcBorders>
            <w:shd w:val="clear" w:color="auto" w:fill="auto"/>
            <w:vAlign w:val="center"/>
          </w:tcPr>
          <w:p>
            <w:pPr>
              <w:widowControl/>
              <w:jc w:val="center"/>
              <w:rPr>
                <w:rFonts w:hint="default" w:ascii="仿宋" w:hAnsi="仿宋" w:eastAsia="仿宋" w:cs="宋体"/>
                <w:kern w:val="0"/>
                <w:sz w:val="18"/>
                <w:szCs w:val="18"/>
                <w:lang w:val="en-US" w:eastAsia="zh-CN"/>
              </w:rPr>
            </w:pPr>
            <w:r>
              <w:rPr>
                <w:rFonts w:hint="eastAsia" w:ascii="仿宋" w:hAnsi="仿宋" w:eastAsia="仿宋" w:cs="宋体"/>
                <w:kern w:val="0"/>
                <w:sz w:val="18"/>
                <w:szCs w:val="18"/>
                <w:highlight w:val="none"/>
                <w:lang w:val="en-US" w:eastAsia="zh-CN"/>
              </w:rPr>
              <w:t>计划标准</w:t>
            </w:r>
          </w:p>
        </w:tc>
        <w:tc>
          <w:tcPr>
            <w:tcW w:w="5139" w:type="dxa"/>
            <w:tcBorders>
              <w:tl2br w:val="nil"/>
              <w:tr2bl w:val="nil"/>
            </w:tcBorders>
            <w:shd w:val="clear" w:color="auto" w:fill="auto"/>
            <w:vAlign w:val="center"/>
          </w:tcPr>
          <w:p>
            <w:pPr>
              <w:widowControl/>
              <w:numPr>
                <w:ilvl w:val="0"/>
                <w:numId w:val="0"/>
              </w:numPr>
              <w:ind w:left="0" w:leftChars="0" w:firstLine="0" w:firstLineChars="0"/>
              <w:jc w:val="left"/>
              <w:rPr>
                <w:rFonts w:hint="eastAsia" w:ascii="仿宋" w:hAnsi="仿宋" w:eastAsia="仿宋" w:cs="宋体"/>
                <w:kern w:val="0"/>
                <w:sz w:val="18"/>
                <w:szCs w:val="18"/>
                <w:lang w:eastAsia="zh-CN"/>
              </w:rPr>
            </w:pPr>
            <w:r>
              <w:rPr>
                <w:rFonts w:hint="eastAsia" w:ascii="仿宋" w:hAnsi="仿宋" w:eastAsia="仿宋" w:cs="宋体"/>
                <w:kern w:val="0"/>
                <w:sz w:val="18"/>
                <w:szCs w:val="18"/>
                <w:lang w:val="en-US" w:eastAsia="zh-CN"/>
              </w:rPr>
              <w:t>完成2020年度中国青少年烟草流行动态监测、饮用水监测、</w:t>
            </w:r>
            <w:r>
              <w:rPr>
                <w:rFonts w:hint="eastAsia" w:ascii="仿宋" w:hAnsi="仿宋" w:eastAsia="仿宋" w:cs="宋体"/>
                <w:kern w:val="0"/>
                <w:sz w:val="18"/>
                <w:szCs w:val="18"/>
                <w:highlight w:val="none"/>
                <w:lang w:val="en-US" w:eastAsia="zh-CN"/>
              </w:rPr>
              <w:t>食品安全</w:t>
            </w:r>
            <w:r>
              <w:rPr>
                <w:rFonts w:hint="eastAsia" w:ascii="仿宋" w:hAnsi="仿宋" w:eastAsia="仿宋" w:cs="宋体"/>
                <w:kern w:val="0"/>
                <w:sz w:val="18"/>
                <w:szCs w:val="18"/>
                <w:lang w:val="en-US" w:eastAsia="zh-CN"/>
              </w:rPr>
              <w:t>监测</w:t>
            </w:r>
            <w:r>
              <w:rPr>
                <w:rFonts w:hint="eastAsia" w:ascii="仿宋" w:hAnsi="仿宋" w:eastAsia="仿宋" w:cs="宋体"/>
                <w:kern w:val="0"/>
                <w:sz w:val="18"/>
                <w:szCs w:val="18"/>
                <w:highlight w:val="none"/>
                <w:lang w:val="en-US" w:eastAsia="zh-CN"/>
              </w:rPr>
              <w:t>、妇幼卫生</w:t>
            </w:r>
            <w:r>
              <w:rPr>
                <w:rFonts w:hint="eastAsia" w:ascii="仿宋" w:hAnsi="仿宋" w:eastAsia="仿宋" w:cs="宋体"/>
                <w:kern w:val="0"/>
                <w:sz w:val="18"/>
                <w:szCs w:val="18"/>
                <w:lang w:val="en-US" w:eastAsia="zh-CN"/>
              </w:rPr>
              <w:t>监测，得0.5分，否则每缺一项扣0.125分，至本项扣完。</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16"/>
                <w:szCs w:val="16"/>
                <w:lang w:val="en-US" w:eastAsia="zh-CN"/>
              </w:rPr>
            </w:pPr>
            <w:r>
              <w:rPr>
                <w:rFonts w:hint="eastAsia" w:ascii="仿宋" w:hAnsi="仿宋" w:eastAsia="仿宋" w:cs="宋体"/>
                <w:kern w:val="0"/>
                <w:sz w:val="16"/>
                <w:szCs w:val="16"/>
                <w:lang w:val="en-US" w:eastAsia="zh-CN"/>
              </w:rPr>
              <w:t>0.375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1122" w:type="dxa"/>
            <w:vMerge w:val="continue"/>
            <w:tcBorders>
              <w:tl2br w:val="nil"/>
              <w:tr2bl w:val="nil"/>
            </w:tcBorders>
            <w:vAlign w:val="center"/>
          </w:tcPr>
          <w:p>
            <w:pPr>
              <w:jc w:val="center"/>
              <w:rPr>
                <w:rFonts w:ascii="仿宋" w:hAnsi="仿宋" w:eastAsia="仿宋" w:cs="宋体"/>
                <w:kern w:val="0"/>
                <w:sz w:val="18"/>
                <w:szCs w:val="18"/>
              </w:rPr>
            </w:pPr>
          </w:p>
        </w:tc>
        <w:tc>
          <w:tcPr>
            <w:tcW w:w="1150" w:type="dxa"/>
            <w:tcBorders>
              <w:tl2br w:val="nil"/>
              <w:tr2bl w:val="nil"/>
            </w:tcBorders>
            <w:vAlign w:val="center"/>
          </w:tcPr>
          <w:p>
            <w:pPr>
              <w:jc w:val="center"/>
              <w:rPr>
                <w:rFonts w:hint="default"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国家随机监督抽查 （0.5分）</w:t>
            </w:r>
          </w:p>
        </w:tc>
        <w:tc>
          <w:tcPr>
            <w:tcW w:w="1321" w:type="dxa"/>
            <w:tcBorders>
              <w:tl2br w:val="nil"/>
              <w:tr2bl w:val="nil"/>
            </w:tcBorders>
            <w:shd w:val="clear" w:color="auto" w:fill="auto"/>
            <w:vAlign w:val="center"/>
          </w:tcPr>
          <w:p>
            <w:pPr>
              <w:jc w:val="center"/>
              <w:rPr>
                <w:rFonts w:hint="default"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国抽完成情况</w:t>
            </w:r>
          </w:p>
        </w:tc>
        <w:tc>
          <w:tcPr>
            <w:tcW w:w="659" w:type="dxa"/>
            <w:tcBorders>
              <w:tl2br w:val="nil"/>
              <w:tr2bl w:val="nil"/>
            </w:tcBorders>
            <w:shd w:val="clear" w:color="auto" w:fill="auto"/>
            <w:vAlign w:val="center"/>
          </w:tcPr>
          <w:p>
            <w:pPr>
              <w:widowControl/>
              <w:jc w:val="center"/>
              <w:rPr>
                <w:rFonts w:hint="default"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0.5</w:t>
            </w:r>
          </w:p>
        </w:tc>
        <w:tc>
          <w:tcPr>
            <w:tcW w:w="4030" w:type="dxa"/>
            <w:tcBorders>
              <w:tl2br w:val="nil"/>
              <w:tr2bl w:val="nil"/>
            </w:tcBorders>
            <w:shd w:val="clear" w:color="auto" w:fill="auto"/>
            <w:vAlign w:val="center"/>
          </w:tcPr>
          <w:p>
            <w:pPr>
              <w:widowControl/>
              <w:jc w:val="left"/>
              <w:rPr>
                <w:rFonts w:hint="default"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 xml:space="preserve"> 是否完成上级下达的国家随机监督抽查项目任务，反映和考核监督执法职责的履行情况。</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18"/>
                <w:szCs w:val="18"/>
                <w:lang w:eastAsia="zh-CN"/>
              </w:rPr>
            </w:pPr>
            <w:r>
              <w:rPr>
                <w:rFonts w:hint="eastAsia" w:ascii="仿宋" w:hAnsi="仿宋" w:eastAsia="仿宋" w:cs="宋体"/>
                <w:kern w:val="0"/>
                <w:sz w:val="18"/>
                <w:szCs w:val="18"/>
                <w:lang w:val="en-US" w:eastAsia="zh-CN"/>
              </w:rPr>
              <w:t>计划标准</w:t>
            </w:r>
          </w:p>
        </w:tc>
        <w:tc>
          <w:tcPr>
            <w:tcW w:w="5139" w:type="dxa"/>
            <w:tcBorders>
              <w:tl2br w:val="nil"/>
              <w:tr2bl w:val="nil"/>
            </w:tcBorders>
            <w:shd w:val="clear" w:color="auto" w:fill="auto"/>
            <w:vAlign w:val="center"/>
          </w:tcPr>
          <w:p>
            <w:pPr>
              <w:widowControl/>
              <w:numPr>
                <w:ilvl w:val="0"/>
                <w:numId w:val="0"/>
              </w:numPr>
              <w:jc w:val="both"/>
              <w:rPr>
                <w:rFonts w:hint="eastAsia"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1.完成2020年下达的75户监督抽查任务，得0.3分，否则不得分；</w:t>
            </w:r>
          </w:p>
          <w:p>
            <w:pPr>
              <w:pStyle w:val="2"/>
              <w:numPr>
                <w:ilvl w:val="0"/>
                <w:numId w:val="0"/>
              </w:numPr>
              <w:ind w:left="0" w:leftChars="0" w:firstLine="0" w:firstLineChars="0"/>
              <w:jc w:val="both"/>
              <w:rPr>
                <w:rFonts w:hint="default" w:ascii="仿宋" w:hAnsi="仿宋" w:eastAsia="仿宋" w:cs="宋体"/>
                <w:kern w:val="0"/>
                <w:sz w:val="18"/>
                <w:szCs w:val="18"/>
                <w:lang w:val="en-US" w:eastAsia="zh-CN"/>
              </w:rPr>
            </w:pPr>
            <w:r>
              <w:rPr>
                <w:rFonts w:hint="eastAsia" w:ascii="仿宋" w:hAnsi="仿宋" w:eastAsia="仿宋" w:cs="宋体"/>
                <w:kern w:val="0"/>
                <w:sz w:val="18"/>
                <w:szCs w:val="18"/>
                <w:lang w:val="en-US" w:eastAsia="zh-CN" w:bidi="ar-SA"/>
              </w:rPr>
              <w:t>2.抽查结果信息及时对社会公开，得0.2分，否则不得分。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1122" w:type="dxa"/>
            <w:vMerge w:val="continue"/>
            <w:tcBorders>
              <w:tl2br w:val="nil"/>
              <w:tr2bl w:val="nil"/>
            </w:tcBorders>
            <w:vAlign w:val="center"/>
          </w:tcPr>
          <w:p>
            <w:pPr>
              <w:jc w:val="center"/>
              <w:rPr>
                <w:rFonts w:ascii="仿宋" w:hAnsi="仿宋" w:eastAsia="仿宋" w:cs="宋体"/>
                <w:kern w:val="0"/>
                <w:sz w:val="18"/>
                <w:szCs w:val="18"/>
              </w:rPr>
            </w:pPr>
          </w:p>
        </w:tc>
        <w:tc>
          <w:tcPr>
            <w:tcW w:w="1150" w:type="dxa"/>
            <w:tcBorders>
              <w:tl2br w:val="nil"/>
              <w:tr2bl w:val="nil"/>
            </w:tcBorders>
            <w:vAlign w:val="center"/>
          </w:tcPr>
          <w:p>
            <w:pPr>
              <w:jc w:val="center"/>
              <w:rPr>
                <w:rFonts w:hint="eastAsia"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人口监测 （1分）</w:t>
            </w:r>
          </w:p>
        </w:tc>
        <w:tc>
          <w:tcPr>
            <w:tcW w:w="1321" w:type="dxa"/>
            <w:tcBorders>
              <w:tl2br w:val="nil"/>
              <w:tr2bl w:val="nil"/>
            </w:tcBorders>
            <w:shd w:val="clear" w:color="auto" w:fill="auto"/>
            <w:vAlign w:val="center"/>
          </w:tcPr>
          <w:p>
            <w:pPr>
              <w:jc w:val="center"/>
              <w:rPr>
                <w:rFonts w:hint="eastAsia"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人口监测</w:t>
            </w:r>
          </w:p>
        </w:tc>
        <w:tc>
          <w:tcPr>
            <w:tcW w:w="659" w:type="dxa"/>
            <w:tcBorders>
              <w:tl2br w:val="nil"/>
              <w:tr2bl w:val="nil"/>
            </w:tcBorders>
            <w:shd w:val="clear" w:color="auto" w:fill="auto"/>
            <w:vAlign w:val="center"/>
          </w:tcPr>
          <w:p>
            <w:pPr>
              <w:widowControl/>
              <w:jc w:val="center"/>
              <w:rPr>
                <w:rFonts w:hint="eastAsia"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1</w:t>
            </w:r>
          </w:p>
        </w:tc>
        <w:tc>
          <w:tcPr>
            <w:tcW w:w="4030" w:type="dxa"/>
            <w:tcBorders>
              <w:tl2br w:val="nil"/>
              <w:tr2bl w:val="nil"/>
            </w:tcBorders>
            <w:shd w:val="clear" w:color="auto" w:fill="auto"/>
            <w:vAlign w:val="center"/>
          </w:tcPr>
          <w:p>
            <w:pPr>
              <w:widowControl/>
              <w:jc w:val="left"/>
              <w:rPr>
                <w:rFonts w:hint="eastAsia"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是否及时掌握辖区内人员的出生、死亡、流动迁移情况，反映和考核辖区内全员人口信息监测的覆盖率和准确率。</w:t>
            </w:r>
          </w:p>
        </w:tc>
        <w:tc>
          <w:tcPr>
            <w:tcW w:w="750" w:type="dxa"/>
            <w:tcBorders>
              <w:tl2br w:val="nil"/>
              <w:tr2bl w:val="nil"/>
            </w:tcBorders>
            <w:shd w:val="clear" w:color="auto" w:fill="auto"/>
            <w:vAlign w:val="center"/>
          </w:tcPr>
          <w:p>
            <w:pPr>
              <w:widowControl/>
              <w:jc w:val="center"/>
              <w:rPr>
                <w:rFonts w:hint="eastAsia"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计划标准</w:t>
            </w:r>
          </w:p>
        </w:tc>
        <w:tc>
          <w:tcPr>
            <w:tcW w:w="5139" w:type="dxa"/>
            <w:tcBorders>
              <w:tl2br w:val="nil"/>
              <w:tr2bl w:val="nil"/>
            </w:tcBorders>
            <w:shd w:val="clear" w:color="auto" w:fill="auto"/>
            <w:vAlign w:val="center"/>
          </w:tcPr>
          <w:p>
            <w:pPr>
              <w:widowControl/>
              <w:numPr>
                <w:ilvl w:val="0"/>
                <w:numId w:val="8"/>
              </w:numPr>
              <w:ind w:leftChars="-200"/>
              <w:jc w:val="center"/>
              <w:rPr>
                <w:rFonts w:hint="eastAsia" w:ascii="仿宋" w:hAnsi="仿宋" w:eastAsia="仿宋" w:cs="宋体"/>
                <w:kern w:val="0"/>
                <w:sz w:val="18"/>
                <w:szCs w:val="18"/>
                <w:lang w:val="en-US" w:eastAsia="zh-CN"/>
              </w:rPr>
            </w:pPr>
            <w:r>
              <w:rPr>
                <w:rFonts w:hint="eastAsia" w:ascii="仿宋" w:hAnsi="仿宋" w:eastAsia="仿宋" w:cs="宋体"/>
                <w:kern w:val="0"/>
                <w:sz w:val="18"/>
                <w:szCs w:val="18"/>
                <w:lang w:val="en-US" w:eastAsia="zh-CN"/>
              </w:rPr>
              <w:t>1.已按规定对县域内常住人口、出生人口、死亡进行登记，得0.6分，否则少一顶扣0.2分；</w:t>
            </w:r>
          </w:p>
          <w:p>
            <w:pPr>
              <w:widowControl/>
              <w:numPr>
                <w:ilvl w:val="0"/>
                <w:numId w:val="8"/>
              </w:numPr>
              <w:ind w:left="-420" w:leftChars="-200"/>
              <w:jc w:val="both"/>
              <w:rPr>
                <w:rFonts w:hint="eastAsia" w:ascii="仿宋" w:hAnsi="仿宋" w:eastAsia="仿宋" w:cs="宋体"/>
                <w:kern w:val="0"/>
                <w:sz w:val="18"/>
                <w:szCs w:val="18"/>
                <w:lang w:val="en-US" w:eastAsia="zh-CN" w:bidi="ar-SA"/>
              </w:rPr>
            </w:pPr>
            <w:r>
              <w:rPr>
                <w:rFonts w:hint="eastAsia" w:ascii="仿宋" w:hAnsi="仿宋" w:eastAsia="仿宋" w:cs="宋体"/>
                <w:kern w:val="0"/>
                <w:sz w:val="18"/>
                <w:szCs w:val="18"/>
                <w:highlight w:val="none"/>
                <w:lang w:val="en-US" w:eastAsia="zh-CN"/>
              </w:rPr>
              <w:t>2.全员人口信息准确率</w:t>
            </w:r>
            <w:r>
              <w:rPr>
                <w:rFonts w:hint="default" w:ascii="仿宋" w:hAnsi="仿宋" w:eastAsia="仿宋" w:cs="宋体"/>
                <w:kern w:val="0"/>
                <w:sz w:val="18"/>
                <w:szCs w:val="18"/>
                <w:highlight w:val="none"/>
                <w:lang w:val="en-US" w:eastAsia="zh-CN"/>
              </w:rPr>
              <w:t>≥</w:t>
            </w:r>
            <w:r>
              <w:rPr>
                <w:rFonts w:hint="eastAsia" w:ascii="仿宋" w:hAnsi="仿宋" w:eastAsia="仿宋" w:cs="宋体"/>
                <w:kern w:val="0"/>
                <w:sz w:val="18"/>
                <w:szCs w:val="18"/>
                <w:highlight w:val="none"/>
                <w:lang w:val="en-US" w:eastAsia="zh-CN"/>
              </w:rPr>
              <w:t>85%，得0.4分</w:t>
            </w:r>
            <w:r>
              <w:rPr>
                <w:rFonts w:hint="eastAsia" w:ascii="仿宋" w:hAnsi="仿宋" w:eastAsia="仿宋" w:cs="宋体"/>
                <w:kern w:val="0"/>
                <w:sz w:val="18"/>
                <w:szCs w:val="18"/>
                <w:lang w:val="en-US" w:eastAsia="zh-CN"/>
              </w:rPr>
              <w:t>，否则不得分。</w:t>
            </w:r>
          </w:p>
        </w:tc>
        <w:tc>
          <w:tcPr>
            <w:tcW w:w="713"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0.4</w:t>
            </w:r>
          </w:p>
        </w:tc>
      </w:tr>
    </w:tbl>
    <w:p>
      <w:pPr>
        <w:pStyle w:val="2"/>
      </w:pPr>
    </w:p>
    <w:p>
      <w:pPr>
        <w:pStyle w:val="2"/>
        <w:sectPr>
          <w:pgSz w:w="16838" w:h="11906" w:orient="landscape"/>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4"/>
        <w:tblW w:w="15038" w:type="dxa"/>
        <w:jc w:val="center"/>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197"/>
        <w:gridCol w:w="1130"/>
        <w:gridCol w:w="740"/>
        <w:gridCol w:w="2239"/>
        <w:gridCol w:w="708"/>
        <w:gridCol w:w="7127"/>
        <w:gridCol w:w="774"/>
      </w:tblGrid>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blHeader/>
          <w:jc w:val="center"/>
        </w:trPr>
        <w:tc>
          <w:tcPr>
            <w:tcW w:w="15038" w:type="dxa"/>
            <w:gridSpan w:val="8"/>
            <w:tcBorders>
              <w:left w:val="nil"/>
              <w:bottom w:val="nil"/>
              <w:right w:val="nil"/>
            </w:tcBorders>
            <w:shd w:val="clear" w:color="auto" w:fill="auto"/>
            <w:noWrap/>
            <w:vAlign w:val="center"/>
          </w:tcPr>
          <w:p>
            <w:pPr>
              <w:widowControl/>
              <w:jc w:val="left"/>
              <w:rPr>
                <w:rFonts w:hint="default" w:ascii="宋体" w:hAnsi="宋体" w:eastAsia="宋体" w:cs="宋体"/>
                <w:b/>
                <w:bCs/>
                <w:kern w:val="0"/>
                <w:sz w:val="32"/>
                <w:szCs w:val="32"/>
                <w:lang w:val="en-US" w:eastAsia="zh-CN"/>
              </w:rPr>
            </w:pPr>
            <w:r>
              <w:rPr>
                <w:rFonts w:hint="eastAsia" w:ascii="宋体" w:hAnsi="宋体" w:eastAsia="宋体" w:cs="宋体"/>
                <w:b/>
                <w:bCs/>
                <w:kern w:val="0"/>
                <w:sz w:val="21"/>
                <w:szCs w:val="21"/>
                <w:lang w:val="en-US" w:eastAsia="zh-CN"/>
              </w:rPr>
              <w:t>附件1-1：</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blHeader/>
          <w:jc w:val="center"/>
        </w:trPr>
        <w:tc>
          <w:tcPr>
            <w:tcW w:w="15038" w:type="dxa"/>
            <w:gridSpan w:val="8"/>
            <w:tcBorders>
              <w:top w:val="nil"/>
              <w:left w:val="nil"/>
              <w:right w:val="nil"/>
            </w:tcBorders>
            <w:shd w:val="clear" w:color="auto" w:fill="auto"/>
            <w:noWrap/>
            <w:vAlign w:val="center"/>
          </w:tcPr>
          <w:p>
            <w:pPr>
              <w:widowControl/>
              <w:jc w:val="center"/>
              <w:rPr>
                <w:rFonts w:ascii="宋体" w:hAnsi="宋体" w:eastAsia="宋体" w:cs="宋体"/>
                <w:b/>
                <w:bCs/>
                <w:kern w:val="0"/>
                <w:sz w:val="32"/>
                <w:szCs w:val="32"/>
              </w:rPr>
            </w:pPr>
            <w:r>
              <w:rPr>
                <w:rFonts w:hint="eastAsia" w:ascii="宋体" w:hAnsi="宋体" w:eastAsia="宋体" w:cs="宋体"/>
                <w:b/>
                <w:bCs/>
                <w:kern w:val="0"/>
                <w:sz w:val="32"/>
                <w:szCs w:val="32"/>
                <w:lang w:eastAsia="zh-CN"/>
              </w:rPr>
              <w:t>临猗县基本公共卫生项目</w:t>
            </w:r>
            <w:r>
              <w:rPr>
                <w:rFonts w:hint="eastAsia" w:ascii="宋体" w:hAnsi="宋体" w:eastAsia="宋体" w:cs="宋体"/>
                <w:b/>
                <w:bCs/>
                <w:kern w:val="0"/>
                <w:sz w:val="32"/>
                <w:szCs w:val="32"/>
              </w:rPr>
              <w:t>绩效评价指标评分表（效益）</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blHeader/>
          <w:jc w:val="center"/>
        </w:trPr>
        <w:tc>
          <w:tcPr>
            <w:tcW w:w="1123" w:type="dxa"/>
            <w:tcBorders>
              <w:tl2br w:val="nil"/>
              <w:tr2bl w:val="nil"/>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一级指标</w:t>
            </w:r>
          </w:p>
        </w:tc>
        <w:tc>
          <w:tcPr>
            <w:tcW w:w="1197" w:type="dxa"/>
            <w:tcBorders>
              <w:tl2br w:val="nil"/>
              <w:tr2bl w:val="nil"/>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二级指标</w:t>
            </w:r>
          </w:p>
        </w:tc>
        <w:tc>
          <w:tcPr>
            <w:tcW w:w="1130" w:type="dxa"/>
            <w:tcBorders>
              <w:tl2br w:val="nil"/>
              <w:tr2bl w:val="nil"/>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三级指标</w:t>
            </w:r>
          </w:p>
        </w:tc>
        <w:tc>
          <w:tcPr>
            <w:tcW w:w="740" w:type="dxa"/>
            <w:tcBorders>
              <w:tl2br w:val="nil"/>
              <w:tr2bl w:val="nil"/>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权重</w:t>
            </w:r>
          </w:p>
        </w:tc>
        <w:tc>
          <w:tcPr>
            <w:tcW w:w="2239" w:type="dxa"/>
            <w:tcBorders>
              <w:tl2br w:val="nil"/>
              <w:tr2bl w:val="nil"/>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指标解释</w:t>
            </w:r>
          </w:p>
        </w:tc>
        <w:tc>
          <w:tcPr>
            <w:tcW w:w="708" w:type="dxa"/>
            <w:tcBorders>
              <w:tl2br w:val="nil"/>
              <w:tr2bl w:val="nil"/>
            </w:tcBorders>
            <w:shd w:val="clear" w:color="auto" w:fill="auto"/>
            <w:vAlign w:val="center"/>
          </w:tcPr>
          <w:p>
            <w:pPr>
              <w:widowControl/>
              <w:jc w:val="center"/>
              <w:rPr>
                <w:rFonts w:ascii="仿宋" w:hAnsi="仿宋" w:eastAsia="仿宋" w:cs="宋体"/>
                <w:b/>
                <w:bCs/>
                <w:color w:val="000000"/>
                <w:kern w:val="0"/>
                <w:sz w:val="22"/>
                <w:szCs w:val="22"/>
              </w:rPr>
            </w:pPr>
            <w:r>
              <w:rPr>
                <w:rFonts w:hint="eastAsia" w:ascii="仿宋" w:hAnsi="仿宋" w:eastAsia="仿宋" w:cs="宋体"/>
                <w:b/>
                <w:bCs/>
                <w:color w:val="000000"/>
                <w:kern w:val="0"/>
                <w:sz w:val="22"/>
                <w:szCs w:val="22"/>
              </w:rPr>
              <w:t>评分依据</w:t>
            </w:r>
          </w:p>
        </w:tc>
        <w:tc>
          <w:tcPr>
            <w:tcW w:w="7127" w:type="dxa"/>
            <w:tcBorders>
              <w:tl2br w:val="nil"/>
              <w:tr2bl w:val="nil"/>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评分标准</w:t>
            </w:r>
          </w:p>
        </w:tc>
        <w:tc>
          <w:tcPr>
            <w:tcW w:w="774" w:type="dxa"/>
            <w:tcBorders>
              <w:tl2br w:val="nil"/>
              <w:tr2bl w:val="nil"/>
            </w:tcBorders>
            <w:shd w:val="clear" w:color="auto" w:fill="auto"/>
            <w:vAlign w:val="center"/>
          </w:tcPr>
          <w:p>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分值</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23" w:type="dxa"/>
            <w:vMerge w:val="restart"/>
            <w:tcBorders>
              <w:tl2br w:val="nil"/>
              <w:tr2bl w:val="nil"/>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效益</w:t>
            </w:r>
          </w:p>
          <w:p>
            <w:pPr>
              <w:pStyle w:val="2"/>
              <w:rPr>
                <w:sz w:val="20"/>
                <w:szCs w:val="20"/>
              </w:rPr>
            </w:pPr>
            <w:r>
              <w:rPr>
                <w:rFonts w:hint="eastAsia" w:ascii="仿宋" w:hAnsi="仿宋" w:eastAsia="仿宋"/>
                <w:sz w:val="20"/>
                <w:szCs w:val="20"/>
              </w:rPr>
              <w:t>（</w:t>
            </w:r>
            <w:r>
              <w:rPr>
                <w:rFonts w:hint="eastAsia" w:ascii="仿宋" w:hAnsi="仿宋" w:eastAsia="仿宋"/>
                <w:sz w:val="20"/>
                <w:szCs w:val="20"/>
                <w:lang w:val="en-US" w:eastAsia="zh-CN"/>
              </w:rPr>
              <w:t>28</w:t>
            </w:r>
            <w:r>
              <w:rPr>
                <w:rFonts w:ascii="仿宋" w:hAnsi="仿宋" w:eastAsia="仿宋"/>
                <w:sz w:val="20"/>
                <w:szCs w:val="20"/>
              </w:rPr>
              <w:t>分</w:t>
            </w:r>
            <w:r>
              <w:rPr>
                <w:rFonts w:hint="eastAsia" w:ascii="仿宋" w:hAnsi="仿宋" w:eastAsia="仿宋"/>
                <w:sz w:val="20"/>
                <w:szCs w:val="20"/>
              </w:rPr>
              <w:t>）</w:t>
            </w:r>
          </w:p>
        </w:tc>
        <w:tc>
          <w:tcPr>
            <w:tcW w:w="1197" w:type="dxa"/>
            <w:vMerge w:val="restart"/>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rPr>
            </w:pPr>
            <w:r>
              <w:rPr>
                <w:rFonts w:hint="eastAsia" w:ascii="仿宋" w:hAnsi="仿宋" w:eastAsia="仿宋" w:cs="宋体"/>
                <w:kern w:val="0"/>
                <w:sz w:val="20"/>
                <w:szCs w:val="20"/>
                <w:lang w:eastAsia="zh-CN"/>
              </w:rPr>
              <w:t>重点人群管理效果（</w:t>
            </w:r>
            <w:r>
              <w:rPr>
                <w:rFonts w:hint="eastAsia" w:ascii="仿宋" w:hAnsi="仿宋" w:eastAsia="仿宋" w:cs="宋体"/>
                <w:kern w:val="0"/>
                <w:sz w:val="20"/>
                <w:szCs w:val="20"/>
                <w:lang w:val="en-US" w:eastAsia="zh-CN"/>
              </w:rPr>
              <w:t>6分）</w:t>
            </w:r>
          </w:p>
        </w:tc>
        <w:tc>
          <w:tcPr>
            <w:tcW w:w="113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高血压患者血压控制率</w:t>
            </w:r>
          </w:p>
        </w:tc>
        <w:tc>
          <w:tcPr>
            <w:tcW w:w="740"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w:t>
            </w:r>
          </w:p>
        </w:tc>
        <w:tc>
          <w:tcPr>
            <w:tcW w:w="2239"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评价健康管理服务对</w:t>
            </w:r>
            <w:r>
              <w:rPr>
                <w:rFonts w:hint="eastAsia" w:ascii="仿宋" w:hAnsi="仿宋" w:eastAsia="仿宋" w:cs="宋体"/>
                <w:kern w:val="0"/>
                <w:sz w:val="20"/>
                <w:szCs w:val="20"/>
                <w:lang w:val="en-US" w:eastAsia="zh-CN"/>
              </w:rPr>
              <w:t>高血压</w:t>
            </w:r>
            <w:r>
              <w:rPr>
                <w:rFonts w:hint="eastAsia" w:ascii="仿宋" w:hAnsi="仿宋" w:eastAsia="仿宋" w:cs="宋体"/>
                <w:kern w:val="0"/>
                <w:sz w:val="20"/>
                <w:szCs w:val="20"/>
                <w:lang w:eastAsia="zh-CN"/>
              </w:rPr>
              <w:t>患者病情控制的效果。</w:t>
            </w:r>
          </w:p>
        </w:tc>
        <w:tc>
          <w:tcPr>
            <w:tcW w:w="708"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7127" w:type="dxa"/>
            <w:tcBorders>
              <w:tl2br w:val="nil"/>
              <w:tr2bl w:val="nil"/>
            </w:tcBorders>
            <w:shd w:val="clear" w:color="auto" w:fill="auto"/>
            <w:vAlign w:val="center"/>
          </w:tcPr>
          <w:p>
            <w:pPr>
              <w:widowControl/>
              <w:jc w:val="left"/>
              <w:rPr>
                <w:rFonts w:hint="default"/>
                <w:sz w:val="20"/>
                <w:szCs w:val="20"/>
                <w:lang w:val="en-US" w:eastAsia="zh-CN"/>
              </w:rPr>
            </w:pPr>
            <w:r>
              <w:rPr>
                <w:rFonts w:hint="eastAsia" w:ascii="仿宋" w:hAnsi="仿宋" w:eastAsia="仿宋" w:cs="宋体"/>
                <w:kern w:val="0"/>
                <w:sz w:val="20"/>
                <w:szCs w:val="20"/>
                <w:lang w:val="en-US" w:eastAsia="zh-CN"/>
              </w:rPr>
              <w:t>最近一次随访的血压控制达标人数占已管理高血压患者的人数</w:t>
            </w:r>
            <w:r>
              <w:rPr>
                <w:rFonts w:hint="default" w:ascii="仿宋" w:hAnsi="仿宋" w:eastAsia="仿宋" w:cs="宋体"/>
                <w:kern w:val="0"/>
                <w:sz w:val="20"/>
                <w:szCs w:val="20"/>
                <w:lang w:val="en-US" w:eastAsia="zh-CN"/>
              </w:rPr>
              <w:t>≥</w:t>
            </w:r>
            <w:r>
              <w:rPr>
                <w:rFonts w:hint="eastAsia" w:ascii="仿宋" w:hAnsi="仿宋" w:eastAsia="仿宋" w:cs="宋体"/>
                <w:kern w:val="0"/>
                <w:sz w:val="20"/>
                <w:szCs w:val="20"/>
                <w:lang w:val="en-US" w:eastAsia="zh-CN"/>
              </w:rPr>
              <w:t>40%，得2分，否则视项目具体开展情况扣分。</w:t>
            </w:r>
          </w:p>
        </w:tc>
        <w:tc>
          <w:tcPr>
            <w:tcW w:w="774"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16"/>
                <w:szCs w:val="16"/>
                <w:lang w:val="en-US" w:eastAsia="zh-CN"/>
              </w:rPr>
              <w:t>1.532</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23" w:type="dxa"/>
            <w:vMerge w:val="continue"/>
            <w:tcBorders>
              <w:tl2br w:val="nil"/>
              <w:tr2bl w:val="nil"/>
            </w:tcBorders>
            <w:shd w:val="clear" w:color="auto" w:fill="auto"/>
            <w:vAlign w:val="center"/>
          </w:tcPr>
          <w:p>
            <w:pPr>
              <w:pStyle w:val="2"/>
              <w:rPr>
                <w:rFonts w:hint="eastAsia" w:ascii="仿宋" w:hAnsi="仿宋" w:eastAsia="仿宋"/>
                <w:sz w:val="20"/>
                <w:szCs w:val="20"/>
              </w:rPr>
            </w:pPr>
          </w:p>
        </w:tc>
        <w:tc>
          <w:tcPr>
            <w:tcW w:w="1197" w:type="dxa"/>
            <w:vMerge w:val="continue"/>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p>
        </w:tc>
        <w:tc>
          <w:tcPr>
            <w:tcW w:w="113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糖尿病患者血糖控制率</w:t>
            </w:r>
          </w:p>
        </w:tc>
        <w:tc>
          <w:tcPr>
            <w:tcW w:w="740"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w:t>
            </w:r>
          </w:p>
        </w:tc>
        <w:tc>
          <w:tcPr>
            <w:tcW w:w="2239"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评价健康管理服务对糖尿病患者病情控制的效果。</w:t>
            </w:r>
          </w:p>
        </w:tc>
        <w:tc>
          <w:tcPr>
            <w:tcW w:w="708"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7127" w:type="dxa"/>
            <w:tcBorders>
              <w:tl2br w:val="nil"/>
              <w:tr2bl w:val="nil"/>
            </w:tcBorders>
            <w:shd w:val="clear" w:color="auto" w:fill="auto"/>
            <w:vAlign w:val="center"/>
          </w:tcPr>
          <w:p>
            <w:pPr>
              <w:widowControl/>
              <w:jc w:val="left"/>
              <w:rPr>
                <w:rFonts w:hint="default"/>
                <w:sz w:val="20"/>
                <w:szCs w:val="20"/>
                <w:lang w:val="en-US" w:eastAsia="zh-CN"/>
              </w:rPr>
            </w:pPr>
            <w:r>
              <w:rPr>
                <w:rFonts w:hint="eastAsia" w:ascii="仿宋" w:hAnsi="仿宋" w:eastAsia="仿宋" w:cs="宋体"/>
                <w:kern w:val="0"/>
                <w:sz w:val="20"/>
                <w:szCs w:val="20"/>
                <w:lang w:val="en-US" w:eastAsia="zh-CN"/>
              </w:rPr>
              <w:t>最近一次随访的血糖控制达标人数占已管理2型糖尿病患者的人数</w:t>
            </w:r>
            <w:r>
              <w:rPr>
                <w:rFonts w:hint="default" w:ascii="仿宋" w:hAnsi="仿宋" w:eastAsia="仿宋" w:cs="宋体"/>
                <w:kern w:val="0"/>
                <w:sz w:val="20"/>
                <w:szCs w:val="20"/>
                <w:lang w:val="en-US" w:eastAsia="zh-CN"/>
              </w:rPr>
              <w:t>≥</w:t>
            </w:r>
            <w:r>
              <w:rPr>
                <w:rFonts w:hint="eastAsia" w:ascii="仿宋" w:hAnsi="仿宋" w:eastAsia="仿宋" w:cs="宋体"/>
                <w:kern w:val="0"/>
                <w:sz w:val="20"/>
                <w:szCs w:val="20"/>
                <w:lang w:val="en-US" w:eastAsia="zh-CN"/>
              </w:rPr>
              <w:t>30%，得2分，否则视项目具体开展情况扣分。</w:t>
            </w:r>
          </w:p>
        </w:tc>
        <w:tc>
          <w:tcPr>
            <w:tcW w:w="774"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16"/>
                <w:szCs w:val="16"/>
                <w:lang w:val="en-US" w:eastAsia="zh-CN"/>
              </w:rPr>
              <w:t>1.532</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23" w:type="dxa"/>
            <w:vMerge w:val="continue"/>
            <w:tcBorders>
              <w:tl2br w:val="nil"/>
              <w:tr2bl w:val="nil"/>
            </w:tcBorders>
            <w:shd w:val="clear" w:color="auto" w:fill="auto"/>
            <w:vAlign w:val="center"/>
          </w:tcPr>
          <w:p>
            <w:pPr>
              <w:pStyle w:val="2"/>
              <w:rPr>
                <w:rFonts w:hint="eastAsia" w:ascii="仿宋" w:hAnsi="仿宋" w:eastAsia="仿宋"/>
                <w:sz w:val="20"/>
                <w:szCs w:val="20"/>
              </w:rPr>
            </w:pPr>
          </w:p>
        </w:tc>
        <w:tc>
          <w:tcPr>
            <w:tcW w:w="1197" w:type="dxa"/>
            <w:vMerge w:val="continue"/>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p>
        </w:tc>
        <w:tc>
          <w:tcPr>
            <w:tcW w:w="1130"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老妇幼健康水平提升</w:t>
            </w:r>
          </w:p>
        </w:tc>
        <w:tc>
          <w:tcPr>
            <w:tcW w:w="740"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w:t>
            </w:r>
          </w:p>
        </w:tc>
        <w:tc>
          <w:tcPr>
            <w:tcW w:w="2239"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评价健康管理服务对</w:t>
            </w:r>
            <w:r>
              <w:rPr>
                <w:rFonts w:hint="eastAsia" w:ascii="仿宋" w:hAnsi="仿宋" w:eastAsia="仿宋" w:cs="宋体"/>
                <w:kern w:val="0"/>
                <w:sz w:val="20"/>
                <w:szCs w:val="20"/>
                <w:lang w:val="en-US" w:eastAsia="zh-CN"/>
              </w:rPr>
              <w:t>老、妇、幼</w:t>
            </w:r>
            <w:r>
              <w:rPr>
                <w:rFonts w:hint="eastAsia" w:ascii="仿宋" w:hAnsi="仿宋" w:eastAsia="仿宋" w:cs="宋体"/>
                <w:kern w:val="0"/>
                <w:sz w:val="20"/>
                <w:szCs w:val="20"/>
                <w:lang w:eastAsia="zh-CN"/>
              </w:rPr>
              <w:t>患者病情控制的效果。</w:t>
            </w:r>
          </w:p>
        </w:tc>
        <w:tc>
          <w:tcPr>
            <w:tcW w:w="708"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7127"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接受健康管理的65岁以上老年人、0-6岁儿童及孕妇女人群健康状况得到明显改善，得2分，健康改善状况与上年相比无变化，不得分。</w:t>
            </w:r>
          </w:p>
        </w:tc>
        <w:tc>
          <w:tcPr>
            <w:tcW w:w="774"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23" w:type="dxa"/>
            <w:vMerge w:val="continue"/>
            <w:tcBorders>
              <w:tl2br w:val="nil"/>
              <w:tr2bl w:val="nil"/>
            </w:tcBorders>
            <w:shd w:val="clear" w:color="auto" w:fill="auto"/>
            <w:vAlign w:val="center"/>
          </w:tcPr>
          <w:p>
            <w:pPr>
              <w:pStyle w:val="2"/>
              <w:rPr>
                <w:rFonts w:hint="eastAsia" w:ascii="仿宋" w:hAnsi="仿宋" w:eastAsia="仿宋"/>
                <w:sz w:val="20"/>
                <w:szCs w:val="20"/>
              </w:rPr>
            </w:pPr>
          </w:p>
        </w:tc>
        <w:tc>
          <w:tcPr>
            <w:tcW w:w="1197" w:type="dxa"/>
            <w:vMerge w:val="restart"/>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eastAsia="zh-CN"/>
              </w:rPr>
              <w:t>社会效益（</w:t>
            </w:r>
            <w:r>
              <w:rPr>
                <w:rFonts w:hint="eastAsia" w:ascii="仿宋" w:hAnsi="仿宋" w:eastAsia="仿宋" w:cs="宋体"/>
                <w:kern w:val="0"/>
                <w:sz w:val="20"/>
                <w:szCs w:val="20"/>
                <w:lang w:val="en-US" w:eastAsia="zh-CN"/>
              </w:rPr>
              <w:t>6分）</w:t>
            </w:r>
          </w:p>
        </w:tc>
        <w:tc>
          <w:tcPr>
            <w:tcW w:w="1130"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目标群体覆盖率增长</w:t>
            </w:r>
          </w:p>
        </w:tc>
        <w:tc>
          <w:tcPr>
            <w:tcW w:w="740"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3</w:t>
            </w:r>
          </w:p>
        </w:tc>
        <w:tc>
          <w:tcPr>
            <w:tcW w:w="2239"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评价该项目</w:t>
            </w:r>
            <w:r>
              <w:rPr>
                <w:rFonts w:hint="eastAsia" w:ascii="仿宋" w:hAnsi="仿宋" w:eastAsia="仿宋" w:cs="宋体"/>
                <w:kern w:val="0"/>
                <w:sz w:val="20"/>
                <w:szCs w:val="20"/>
                <w:lang w:val="en-US" w:eastAsia="zh-CN"/>
              </w:rPr>
              <w:t>目标群体健康管理覆盖增长情况，</w:t>
            </w:r>
            <w:r>
              <w:rPr>
                <w:rFonts w:hint="eastAsia" w:ascii="仿宋" w:hAnsi="仿宋" w:eastAsia="仿宋" w:cs="宋体"/>
                <w:kern w:val="0"/>
                <w:sz w:val="20"/>
                <w:szCs w:val="20"/>
                <w:lang w:eastAsia="zh-CN"/>
              </w:rPr>
              <w:t>是否</w:t>
            </w:r>
            <w:r>
              <w:rPr>
                <w:rFonts w:hint="eastAsia" w:ascii="仿宋" w:hAnsi="仿宋" w:eastAsia="仿宋" w:cs="宋体"/>
                <w:kern w:val="0"/>
                <w:sz w:val="20"/>
                <w:szCs w:val="20"/>
                <w:lang w:val="en-US" w:eastAsia="zh-CN"/>
              </w:rPr>
              <w:t>进一步</w:t>
            </w:r>
            <w:r>
              <w:rPr>
                <w:rFonts w:hint="eastAsia" w:ascii="仿宋" w:hAnsi="仿宋" w:eastAsia="仿宋" w:cs="宋体"/>
                <w:kern w:val="0"/>
                <w:sz w:val="20"/>
                <w:szCs w:val="20"/>
                <w:lang w:eastAsia="zh-CN"/>
              </w:rPr>
              <w:t>促进了城乡公共卫生的均等化。</w:t>
            </w:r>
          </w:p>
        </w:tc>
        <w:tc>
          <w:tcPr>
            <w:tcW w:w="708"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7127"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已接受健康管理的目标群体，逐年递增，有效促进了城乡公共卫生的均等化，得3分，否则视项目具体开展情况扣分。</w:t>
            </w:r>
          </w:p>
        </w:tc>
        <w:tc>
          <w:tcPr>
            <w:tcW w:w="774"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23" w:type="dxa"/>
            <w:vMerge w:val="continue"/>
            <w:tcBorders>
              <w:tl2br w:val="nil"/>
              <w:tr2bl w:val="nil"/>
            </w:tcBorders>
            <w:shd w:val="clear" w:color="auto" w:fill="auto"/>
            <w:vAlign w:val="center"/>
          </w:tcPr>
          <w:p>
            <w:pPr>
              <w:pStyle w:val="2"/>
              <w:rPr>
                <w:rFonts w:hint="eastAsia" w:ascii="仿宋" w:hAnsi="仿宋" w:eastAsia="仿宋"/>
                <w:sz w:val="20"/>
                <w:szCs w:val="20"/>
              </w:rPr>
            </w:pPr>
          </w:p>
        </w:tc>
        <w:tc>
          <w:tcPr>
            <w:tcW w:w="1197" w:type="dxa"/>
            <w:vMerge w:val="continue"/>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p>
        </w:tc>
        <w:tc>
          <w:tcPr>
            <w:tcW w:w="113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居民健康管理意识提高</w:t>
            </w:r>
          </w:p>
        </w:tc>
        <w:tc>
          <w:tcPr>
            <w:tcW w:w="740"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3</w:t>
            </w:r>
          </w:p>
        </w:tc>
        <w:tc>
          <w:tcPr>
            <w:tcW w:w="2239"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评价居民健康管理意识的提高程度。</w:t>
            </w:r>
          </w:p>
        </w:tc>
        <w:tc>
          <w:tcPr>
            <w:tcW w:w="708"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7127"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居民健康管理意识不断提高，得3分，未提高不得分。</w:t>
            </w:r>
          </w:p>
        </w:tc>
        <w:tc>
          <w:tcPr>
            <w:tcW w:w="774"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123" w:type="dxa"/>
            <w:vMerge w:val="restart"/>
            <w:tcBorders>
              <w:tl2br w:val="nil"/>
              <w:tr2bl w:val="nil"/>
            </w:tcBorders>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效益</w:t>
            </w:r>
          </w:p>
          <w:p>
            <w:pPr>
              <w:jc w:val="center"/>
              <w:rPr>
                <w:rFonts w:ascii="仿宋" w:hAnsi="仿宋" w:eastAsia="仿宋" w:cs="宋体"/>
                <w:kern w:val="0"/>
                <w:sz w:val="20"/>
                <w:szCs w:val="20"/>
              </w:rPr>
            </w:pPr>
            <w:r>
              <w:rPr>
                <w:rFonts w:hint="eastAsia" w:ascii="仿宋" w:hAnsi="仿宋" w:eastAsia="仿宋"/>
                <w:sz w:val="20"/>
                <w:szCs w:val="20"/>
              </w:rPr>
              <w:t>（</w:t>
            </w:r>
            <w:r>
              <w:rPr>
                <w:rFonts w:hint="eastAsia" w:ascii="仿宋" w:hAnsi="仿宋" w:eastAsia="仿宋"/>
                <w:sz w:val="20"/>
                <w:szCs w:val="20"/>
                <w:lang w:val="en-US" w:eastAsia="zh-CN"/>
              </w:rPr>
              <w:t>28</w:t>
            </w:r>
            <w:r>
              <w:rPr>
                <w:rFonts w:ascii="仿宋" w:hAnsi="仿宋" w:eastAsia="仿宋"/>
                <w:sz w:val="20"/>
                <w:szCs w:val="20"/>
              </w:rPr>
              <w:t>分</w:t>
            </w:r>
            <w:r>
              <w:rPr>
                <w:rFonts w:hint="eastAsia" w:ascii="仿宋" w:hAnsi="仿宋" w:eastAsia="仿宋"/>
                <w:sz w:val="20"/>
                <w:szCs w:val="20"/>
              </w:rPr>
              <w:t>）</w:t>
            </w:r>
          </w:p>
        </w:tc>
        <w:tc>
          <w:tcPr>
            <w:tcW w:w="1197" w:type="dxa"/>
            <w:vMerge w:val="restart"/>
            <w:tcBorders>
              <w:tl2br w:val="nil"/>
              <w:tr2bl w:val="nil"/>
            </w:tcBorders>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可持续</w:t>
            </w:r>
          </w:p>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 xml:space="preserve">影响    （6分）   </w:t>
            </w:r>
          </w:p>
        </w:tc>
        <w:tc>
          <w:tcPr>
            <w:tcW w:w="1130"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专业服务水平提升</w:t>
            </w:r>
          </w:p>
        </w:tc>
        <w:tc>
          <w:tcPr>
            <w:tcW w:w="740"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3</w:t>
            </w:r>
          </w:p>
        </w:tc>
        <w:tc>
          <w:tcPr>
            <w:tcW w:w="2239"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评价专业服务水平提升对项目持续运行的推动作用。</w:t>
            </w:r>
          </w:p>
        </w:tc>
        <w:tc>
          <w:tcPr>
            <w:tcW w:w="708"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7127" w:type="dxa"/>
            <w:tcBorders>
              <w:tl2br w:val="nil"/>
              <w:tr2bl w:val="nil"/>
            </w:tcBorders>
            <w:shd w:val="clear" w:color="auto" w:fill="auto"/>
            <w:vAlign w:val="center"/>
          </w:tcPr>
          <w:p>
            <w:pPr>
              <w:widowControl/>
              <w:numPr>
                <w:ilvl w:val="0"/>
                <w:numId w:val="0"/>
              </w:numPr>
              <w:ind w:left="0" w:leftChars="0" w:firstLine="0" w:firstLineChars="0"/>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基本公卫服务人员队伍建设不断提升，得1分，否则不得分；2.以高血压为突破口慢病管理医防融合进一步深化，得1分，否则得分；3.各专业机构承担的技术指导工作按项目实施方案要求已完成，得1分，否则不得分。</w:t>
            </w:r>
          </w:p>
        </w:tc>
        <w:tc>
          <w:tcPr>
            <w:tcW w:w="774"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123" w:type="dxa"/>
            <w:vMerge w:val="continue"/>
            <w:tcBorders>
              <w:tl2br w:val="nil"/>
              <w:tr2bl w:val="nil"/>
            </w:tcBorders>
            <w:vAlign w:val="center"/>
          </w:tcPr>
          <w:p>
            <w:pPr>
              <w:jc w:val="center"/>
              <w:rPr>
                <w:rFonts w:ascii="仿宋" w:hAnsi="仿宋" w:eastAsia="仿宋" w:cs="宋体"/>
                <w:kern w:val="0"/>
                <w:sz w:val="20"/>
                <w:szCs w:val="20"/>
              </w:rPr>
            </w:pPr>
          </w:p>
        </w:tc>
        <w:tc>
          <w:tcPr>
            <w:tcW w:w="1197" w:type="dxa"/>
            <w:vMerge w:val="continue"/>
            <w:tcBorders>
              <w:tl2br w:val="nil"/>
              <w:tr2bl w:val="nil"/>
            </w:tcBorders>
            <w:vAlign w:val="center"/>
          </w:tcPr>
          <w:p>
            <w:pPr>
              <w:widowControl/>
              <w:jc w:val="center"/>
              <w:rPr>
                <w:rFonts w:hint="default" w:ascii="仿宋" w:hAnsi="仿宋" w:eastAsia="仿宋" w:cs="宋体"/>
                <w:kern w:val="0"/>
                <w:sz w:val="20"/>
                <w:szCs w:val="20"/>
                <w:lang w:val="en-US" w:eastAsia="zh-CN"/>
              </w:rPr>
            </w:pPr>
          </w:p>
        </w:tc>
        <w:tc>
          <w:tcPr>
            <w:tcW w:w="1130"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政策宣传的持续性</w:t>
            </w:r>
          </w:p>
        </w:tc>
        <w:tc>
          <w:tcPr>
            <w:tcW w:w="740"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3</w:t>
            </w:r>
          </w:p>
        </w:tc>
        <w:tc>
          <w:tcPr>
            <w:tcW w:w="2239" w:type="dxa"/>
            <w:tcBorders>
              <w:tl2br w:val="nil"/>
              <w:tr2bl w:val="nil"/>
            </w:tcBorders>
            <w:shd w:val="clear" w:color="auto" w:fill="auto"/>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评价政策宣传对项目持续运行的推动作用。</w:t>
            </w:r>
          </w:p>
        </w:tc>
        <w:tc>
          <w:tcPr>
            <w:tcW w:w="708"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7127" w:type="dxa"/>
            <w:tcBorders>
              <w:tl2br w:val="nil"/>
              <w:tr2bl w:val="nil"/>
            </w:tcBorders>
            <w:shd w:val="clear" w:color="auto" w:fill="auto"/>
            <w:vAlign w:val="center"/>
          </w:tcPr>
          <w:p>
            <w:pPr>
              <w:widowControl/>
              <w:numPr>
                <w:ilvl w:val="0"/>
                <w:numId w:val="0"/>
              </w:numPr>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1.宣传内容及宣传方式符合项目内容要求、适应社会发展所需，得1分，否则不得分。</w:t>
            </w:r>
          </w:p>
          <w:p>
            <w:pPr>
              <w:widowControl/>
              <w:numPr>
                <w:ilvl w:val="0"/>
                <w:numId w:val="0"/>
              </w:numPr>
              <w:ind w:left="0" w:leftChars="0" w:firstLine="0" w:firstLineChars="0"/>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2.项目知晓度逐年提升，得2分，否则不得分；</w:t>
            </w:r>
          </w:p>
        </w:tc>
        <w:tc>
          <w:tcPr>
            <w:tcW w:w="774"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1.5</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1123" w:type="dxa"/>
            <w:vMerge w:val="continue"/>
            <w:tcBorders>
              <w:tl2br w:val="nil"/>
              <w:tr2bl w:val="nil"/>
            </w:tcBorders>
            <w:vAlign w:val="center"/>
          </w:tcPr>
          <w:p>
            <w:pPr>
              <w:jc w:val="center"/>
              <w:rPr>
                <w:rFonts w:ascii="仿宋" w:hAnsi="仿宋" w:eastAsia="仿宋" w:cs="宋体"/>
                <w:kern w:val="0"/>
                <w:sz w:val="20"/>
                <w:szCs w:val="20"/>
              </w:rPr>
            </w:pPr>
          </w:p>
        </w:tc>
        <w:tc>
          <w:tcPr>
            <w:tcW w:w="1197" w:type="dxa"/>
            <w:vMerge w:val="restart"/>
            <w:tcBorders>
              <w:tl2br w:val="nil"/>
              <w:tr2bl w:val="nil"/>
            </w:tcBorders>
            <w:vAlign w:val="center"/>
          </w:tcPr>
          <w:p>
            <w:pPr>
              <w:widowControl/>
              <w:jc w:val="left"/>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社会公众满意度  （10分）</w:t>
            </w:r>
          </w:p>
        </w:tc>
        <w:tc>
          <w:tcPr>
            <w:tcW w:w="113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居民综合满意度</w:t>
            </w:r>
          </w:p>
        </w:tc>
        <w:tc>
          <w:tcPr>
            <w:tcW w:w="740"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6</w:t>
            </w:r>
          </w:p>
        </w:tc>
        <w:tc>
          <w:tcPr>
            <w:tcW w:w="2239"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评价城乡居民对国家基本公共卫生服务项目有关服务的满意程度。</w:t>
            </w:r>
          </w:p>
        </w:tc>
        <w:tc>
          <w:tcPr>
            <w:tcW w:w="708"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计划标准</w:t>
            </w:r>
          </w:p>
        </w:tc>
        <w:tc>
          <w:tcPr>
            <w:tcW w:w="7127"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仿宋"/>
                <w:i w:val="0"/>
                <w:color w:val="000000"/>
                <w:kern w:val="0"/>
                <w:sz w:val="20"/>
                <w:szCs w:val="20"/>
                <w:u w:val="none"/>
                <w:lang w:val="en-US" w:eastAsia="zh-CN" w:bidi="ar"/>
              </w:rPr>
              <w:t>平均满意度在95分及以上的，得满分，低于60分，得0分，满意度在60-95区间，按比例计算得分。</w:t>
            </w:r>
          </w:p>
        </w:tc>
        <w:tc>
          <w:tcPr>
            <w:tcW w:w="774"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4.94</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123" w:type="dxa"/>
            <w:vMerge w:val="continue"/>
            <w:tcBorders>
              <w:tl2br w:val="nil"/>
              <w:tr2bl w:val="nil"/>
            </w:tcBorders>
            <w:vAlign w:val="center"/>
          </w:tcPr>
          <w:p>
            <w:pPr>
              <w:jc w:val="center"/>
              <w:rPr>
                <w:rFonts w:ascii="仿宋" w:hAnsi="仿宋" w:eastAsia="仿宋" w:cs="宋体"/>
                <w:kern w:val="0"/>
                <w:sz w:val="20"/>
                <w:szCs w:val="20"/>
              </w:rPr>
            </w:pPr>
          </w:p>
        </w:tc>
        <w:tc>
          <w:tcPr>
            <w:tcW w:w="1197" w:type="dxa"/>
            <w:vMerge w:val="continue"/>
            <w:tcBorders>
              <w:tl2br w:val="nil"/>
              <w:tr2bl w:val="nil"/>
            </w:tcBorders>
            <w:vAlign w:val="center"/>
          </w:tcPr>
          <w:p>
            <w:pPr>
              <w:jc w:val="center"/>
              <w:rPr>
                <w:rFonts w:ascii="仿宋" w:hAnsi="仿宋" w:eastAsia="仿宋" w:cs="宋体"/>
                <w:kern w:val="0"/>
                <w:sz w:val="20"/>
                <w:szCs w:val="20"/>
              </w:rPr>
            </w:pPr>
          </w:p>
        </w:tc>
        <w:tc>
          <w:tcPr>
            <w:tcW w:w="113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基层医务人员满意度</w:t>
            </w:r>
          </w:p>
        </w:tc>
        <w:tc>
          <w:tcPr>
            <w:tcW w:w="740"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4</w:t>
            </w:r>
          </w:p>
        </w:tc>
        <w:tc>
          <w:tcPr>
            <w:tcW w:w="2239"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r>
              <w:rPr>
                <w:rFonts w:hint="eastAsia" w:ascii="仿宋" w:hAnsi="仿宋" w:eastAsia="仿宋" w:cs="宋体"/>
                <w:kern w:val="0"/>
                <w:sz w:val="20"/>
                <w:szCs w:val="20"/>
                <w:lang w:eastAsia="zh-CN"/>
              </w:rPr>
              <w:t>评价基层医务人员对国家基本公共卫生服务项目有关服务的满意程度。</w:t>
            </w:r>
          </w:p>
        </w:tc>
        <w:tc>
          <w:tcPr>
            <w:tcW w:w="708" w:type="dxa"/>
            <w:tcBorders>
              <w:tl2br w:val="nil"/>
              <w:tr2bl w:val="nil"/>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lang w:eastAsia="zh-CN"/>
              </w:rPr>
              <w:t>计划标准</w:t>
            </w:r>
          </w:p>
        </w:tc>
        <w:tc>
          <w:tcPr>
            <w:tcW w:w="7127" w:type="dxa"/>
            <w:tcBorders>
              <w:tl2br w:val="nil"/>
              <w:tr2bl w:val="nil"/>
            </w:tcBorders>
            <w:shd w:val="clear" w:color="auto" w:fill="auto"/>
            <w:vAlign w:val="center"/>
          </w:tcPr>
          <w:p>
            <w:pPr>
              <w:widowControl/>
              <w:jc w:val="left"/>
              <w:rPr>
                <w:rFonts w:ascii="仿宋" w:hAnsi="仿宋" w:eastAsia="仿宋" w:cs="宋体"/>
                <w:kern w:val="0"/>
                <w:sz w:val="20"/>
                <w:szCs w:val="20"/>
              </w:rPr>
            </w:pPr>
            <w:r>
              <w:rPr>
                <w:rFonts w:hint="eastAsia" w:ascii="仿宋" w:hAnsi="仿宋" w:eastAsia="仿宋" w:cs="仿宋"/>
                <w:i w:val="0"/>
                <w:color w:val="000000"/>
                <w:kern w:val="0"/>
                <w:sz w:val="20"/>
                <w:szCs w:val="20"/>
                <w:u w:val="none"/>
                <w:lang w:val="en-US" w:eastAsia="zh-CN" w:bidi="ar"/>
              </w:rPr>
              <w:t>平均满意度在95分及以上的，得满分，低于60分，得0分，满意度在60-95区间，按比例计算得分。</w:t>
            </w:r>
          </w:p>
        </w:tc>
        <w:tc>
          <w:tcPr>
            <w:tcW w:w="774"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2.64</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450" w:type="dxa"/>
            <w:gridSpan w:val="3"/>
            <w:tcBorders>
              <w:tl2br w:val="nil"/>
              <w:tr2bl w:val="nil"/>
            </w:tcBorders>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绩效得分</w:t>
            </w:r>
          </w:p>
        </w:tc>
        <w:tc>
          <w:tcPr>
            <w:tcW w:w="740"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val="en-US" w:eastAsia="zh-CN"/>
              </w:rPr>
            </w:pPr>
          </w:p>
        </w:tc>
        <w:tc>
          <w:tcPr>
            <w:tcW w:w="2239" w:type="dxa"/>
            <w:tcBorders>
              <w:tl2br w:val="nil"/>
              <w:tr2bl w:val="nil"/>
            </w:tcBorders>
            <w:shd w:val="clear" w:color="auto" w:fill="auto"/>
            <w:vAlign w:val="center"/>
          </w:tcPr>
          <w:p>
            <w:pPr>
              <w:widowControl/>
              <w:jc w:val="left"/>
              <w:rPr>
                <w:rFonts w:hint="eastAsia" w:ascii="仿宋" w:hAnsi="仿宋" w:eastAsia="仿宋" w:cs="宋体"/>
                <w:kern w:val="0"/>
                <w:sz w:val="20"/>
                <w:szCs w:val="20"/>
                <w:lang w:eastAsia="zh-CN"/>
              </w:rPr>
            </w:pPr>
          </w:p>
        </w:tc>
        <w:tc>
          <w:tcPr>
            <w:tcW w:w="708" w:type="dxa"/>
            <w:tcBorders>
              <w:tl2br w:val="nil"/>
              <w:tr2bl w:val="nil"/>
            </w:tcBorders>
            <w:shd w:val="clear" w:color="auto" w:fill="auto"/>
            <w:vAlign w:val="center"/>
          </w:tcPr>
          <w:p>
            <w:pPr>
              <w:widowControl/>
              <w:jc w:val="center"/>
              <w:rPr>
                <w:rFonts w:hint="eastAsia" w:ascii="仿宋" w:hAnsi="仿宋" w:eastAsia="仿宋" w:cs="宋体"/>
                <w:kern w:val="0"/>
                <w:sz w:val="20"/>
                <w:szCs w:val="20"/>
                <w:lang w:eastAsia="zh-CN"/>
              </w:rPr>
            </w:pPr>
          </w:p>
        </w:tc>
        <w:tc>
          <w:tcPr>
            <w:tcW w:w="7127" w:type="dxa"/>
            <w:tcBorders>
              <w:tl2br w:val="nil"/>
              <w:tr2bl w:val="nil"/>
            </w:tcBorders>
            <w:shd w:val="clear" w:color="auto" w:fill="auto"/>
            <w:vAlign w:val="center"/>
          </w:tcPr>
          <w:p>
            <w:pPr>
              <w:widowControl/>
              <w:jc w:val="left"/>
              <w:rPr>
                <w:rFonts w:hint="eastAsia" w:ascii="仿宋" w:hAnsi="仿宋" w:eastAsia="仿宋" w:cs="仿宋"/>
                <w:i w:val="0"/>
                <w:color w:val="000000"/>
                <w:kern w:val="0"/>
                <w:sz w:val="20"/>
                <w:szCs w:val="20"/>
                <w:u w:val="none"/>
                <w:lang w:val="en-US" w:eastAsia="zh-CN" w:bidi="ar"/>
              </w:rPr>
            </w:pPr>
          </w:p>
        </w:tc>
        <w:tc>
          <w:tcPr>
            <w:tcW w:w="774" w:type="dxa"/>
            <w:tcBorders>
              <w:tl2br w:val="nil"/>
              <w:tr2bl w:val="nil"/>
            </w:tcBorders>
            <w:shd w:val="clear" w:color="auto" w:fill="auto"/>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16"/>
                <w:szCs w:val="16"/>
                <w:lang w:val="en-US" w:eastAsia="zh-CN"/>
              </w:rPr>
              <w:t>71.731</w:t>
            </w:r>
          </w:p>
        </w:tc>
      </w:tr>
    </w:tbl>
    <w:p>
      <w:pPr>
        <w:pStyle w:val="2"/>
      </w:pPr>
    </w:p>
    <w:tbl>
      <w:tblPr>
        <w:tblStyle w:val="14"/>
        <w:tblW w:w="13945" w:type="dxa"/>
        <w:tblInd w:w="0" w:type="dxa"/>
        <w:shd w:val="clear" w:color="auto" w:fill="auto"/>
        <w:tblLayout w:type="fixed"/>
        <w:tblCellMar>
          <w:top w:w="0" w:type="dxa"/>
          <w:left w:w="0" w:type="dxa"/>
          <w:bottom w:w="0" w:type="dxa"/>
          <w:right w:w="0" w:type="dxa"/>
        </w:tblCellMar>
      </w:tblPr>
      <w:tblGrid>
        <w:gridCol w:w="870"/>
        <w:gridCol w:w="960"/>
        <w:gridCol w:w="1120"/>
        <w:gridCol w:w="650"/>
        <w:gridCol w:w="961"/>
        <w:gridCol w:w="946"/>
        <w:gridCol w:w="827"/>
        <w:gridCol w:w="864"/>
        <w:gridCol w:w="900"/>
        <w:gridCol w:w="1000"/>
        <w:gridCol w:w="900"/>
        <w:gridCol w:w="982"/>
        <w:gridCol w:w="918"/>
        <w:gridCol w:w="1009"/>
        <w:gridCol w:w="1038"/>
      </w:tblGrid>
      <w:tr>
        <w:tblPrEx>
          <w:shd w:val="clear" w:color="auto" w:fill="auto"/>
          <w:tblCellMar>
            <w:top w:w="0" w:type="dxa"/>
            <w:left w:w="0" w:type="dxa"/>
            <w:bottom w:w="0" w:type="dxa"/>
            <w:right w:w="0" w:type="dxa"/>
          </w:tblCellMar>
        </w:tblPrEx>
        <w:trPr>
          <w:trHeight w:val="482" w:hRule="atLeast"/>
          <w:tblHeader/>
        </w:trPr>
        <w:tc>
          <w:tcPr>
            <w:tcW w:w="13945" w:type="dxa"/>
            <w:gridSpan w:val="15"/>
            <w:tcBorders>
              <w:top w:val="nil"/>
              <w:left w:val="nil"/>
              <w:bottom w:val="nil"/>
              <w:right w:val="nil"/>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default" w:ascii="仿宋" w:hAnsi="仿宋" w:eastAsia="仿宋" w:cs="仿宋"/>
                <w:b/>
                <w:bCs/>
                <w:sz w:val="32"/>
                <w:szCs w:val="32"/>
                <w:lang w:val="en-US" w:eastAsia="zh-CN"/>
              </w:rPr>
            </w:pPr>
            <w:r>
              <w:rPr>
                <w:rFonts w:hint="eastAsia" w:ascii="仿宋" w:hAnsi="仿宋" w:eastAsia="仿宋" w:cs="仿宋"/>
                <w:b/>
                <w:bCs/>
                <w:sz w:val="21"/>
                <w:szCs w:val="21"/>
                <w:lang w:val="en-US" w:eastAsia="zh-CN"/>
              </w:rPr>
              <w:t>附件1-2：</w:t>
            </w:r>
          </w:p>
        </w:tc>
      </w:tr>
      <w:tr>
        <w:tblPrEx>
          <w:shd w:val="clear" w:color="auto" w:fill="auto"/>
          <w:tblCellMar>
            <w:top w:w="0" w:type="dxa"/>
            <w:left w:w="0" w:type="dxa"/>
            <w:bottom w:w="0" w:type="dxa"/>
            <w:right w:w="0" w:type="dxa"/>
          </w:tblCellMar>
        </w:tblPrEx>
        <w:trPr>
          <w:trHeight w:val="482" w:hRule="atLeast"/>
          <w:tblHeader/>
        </w:trPr>
        <w:tc>
          <w:tcPr>
            <w:tcW w:w="13945" w:type="dxa"/>
            <w:gridSpan w:val="15"/>
            <w:tcBorders>
              <w:top w:val="nil"/>
              <w:left w:val="nil"/>
              <w:bottom w:val="single" w:color="000000" w:sz="4" w:space="0"/>
              <w:right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18"/>
                <w:szCs w:val="18"/>
                <w:u w:val="none"/>
                <w:lang w:val="en-US" w:eastAsia="zh-CN" w:bidi="ar"/>
              </w:rPr>
            </w:pPr>
            <w:r>
              <w:rPr>
                <w:rFonts w:hint="eastAsia" w:ascii="仿宋" w:hAnsi="仿宋" w:eastAsia="仿宋" w:cs="仿宋"/>
                <w:b/>
                <w:bCs/>
                <w:sz w:val="32"/>
                <w:szCs w:val="32"/>
                <w:lang w:eastAsia="zh-CN"/>
              </w:rPr>
              <w:t>卫</w:t>
            </w:r>
            <w:r>
              <w:rPr>
                <w:rFonts w:hint="eastAsia" w:ascii="仿宋" w:hAnsi="仿宋" w:eastAsia="仿宋" w:cs="仿宋"/>
                <w:b/>
                <w:bCs/>
                <w:sz w:val="32"/>
                <w:szCs w:val="32"/>
                <w:lang w:val="en-US" w:eastAsia="zh-CN"/>
              </w:rPr>
              <w:t>体局</w:t>
            </w:r>
            <w:r>
              <w:rPr>
                <w:rFonts w:hint="eastAsia" w:ascii="仿宋" w:hAnsi="仿宋" w:eastAsia="仿宋" w:cs="仿宋"/>
                <w:b/>
                <w:bCs/>
                <w:sz w:val="32"/>
                <w:szCs w:val="32"/>
                <w:lang w:eastAsia="zh-CN"/>
              </w:rPr>
              <w:t>与抽查的</w:t>
            </w:r>
            <w:r>
              <w:rPr>
                <w:rFonts w:hint="eastAsia" w:ascii="仿宋" w:hAnsi="仿宋" w:eastAsia="仿宋" w:cs="仿宋"/>
                <w:b/>
                <w:bCs/>
                <w:sz w:val="32"/>
                <w:szCs w:val="32"/>
                <w:lang w:val="en-US" w:eastAsia="zh-CN"/>
              </w:rPr>
              <w:t>10家</w:t>
            </w:r>
            <w:r>
              <w:rPr>
                <w:rFonts w:hint="eastAsia" w:ascii="仿宋" w:hAnsi="仿宋" w:eastAsia="仿宋" w:cs="仿宋"/>
                <w:b/>
                <w:bCs/>
                <w:sz w:val="32"/>
                <w:szCs w:val="32"/>
                <w:lang w:eastAsia="zh-CN"/>
              </w:rPr>
              <w:t>基层医疗卫生机构</w:t>
            </w:r>
            <w:r>
              <w:rPr>
                <w:rFonts w:hint="eastAsia" w:ascii="仿宋" w:hAnsi="仿宋" w:eastAsia="仿宋" w:cs="仿宋"/>
                <w:b/>
                <w:bCs/>
                <w:kern w:val="0"/>
                <w:sz w:val="32"/>
                <w:szCs w:val="32"/>
              </w:rPr>
              <w:t>评分表</w:t>
            </w:r>
          </w:p>
        </w:tc>
      </w:tr>
      <w:tr>
        <w:tblPrEx>
          <w:shd w:val="clear" w:color="auto" w:fill="auto"/>
          <w:tblCellMar>
            <w:top w:w="0" w:type="dxa"/>
            <w:left w:w="0" w:type="dxa"/>
            <w:bottom w:w="0" w:type="dxa"/>
            <w:right w:w="0" w:type="dxa"/>
          </w:tblCellMar>
        </w:tblPrEx>
        <w:trPr>
          <w:trHeight w:val="482" w:hRule="atLeast"/>
          <w:tblHeader/>
        </w:trPr>
        <w:tc>
          <w:tcPr>
            <w:tcW w:w="870" w:type="dxa"/>
            <w:tcBorders>
              <w:top w:val="single" w:color="000000" w:sz="4" w:space="0"/>
              <w:left w:val="single" w:color="000000" w:sz="4" w:space="0"/>
              <w:bottom w:val="single" w:color="000000" w:sz="4" w:space="0"/>
              <w:right w:val="single" w:color="000000" w:sz="4" w:space="0"/>
            </w:tcBorders>
            <w:shd w:val="pct20" w:color="auto" w:fill="auto"/>
            <w:tcMar>
              <w:top w:w="10" w:type="dxa"/>
              <w:left w:w="10" w:type="dxa"/>
              <w:right w:w="10" w:type="dxa"/>
            </w:tcMar>
            <w:vAlign w:val="center"/>
          </w:tcPr>
          <w:p>
            <w:pPr>
              <w:keepNext w:val="0"/>
              <w:keepLines w:val="0"/>
              <w:widowControl/>
              <w:suppressLineNumbers w:val="0"/>
              <w:jc w:val="center"/>
              <w:textAlignment w:val="center"/>
              <w:rPr>
                <w:rFonts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一级指标</w:t>
            </w:r>
          </w:p>
        </w:tc>
        <w:tc>
          <w:tcPr>
            <w:tcW w:w="960" w:type="dxa"/>
            <w:tcBorders>
              <w:top w:val="single" w:color="000000" w:sz="4" w:space="0"/>
              <w:left w:val="single" w:color="000000" w:sz="4" w:space="0"/>
              <w:bottom w:val="single" w:color="000000" w:sz="4" w:space="0"/>
              <w:right w:val="single" w:color="000000" w:sz="4" w:space="0"/>
            </w:tcBorders>
            <w:shd w:val="pct20"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二级指标</w:t>
            </w:r>
          </w:p>
        </w:tc>
        <w:tc>
          <w:tcPr>
            <w:tcW w:w="1120" w:type="dxa"/>
            <w:tcBorders>
              <w:top w:val="single" w:color="000000" w:sz="4" w:space="0"/>
              <w:left w:val="single" w:color="000000" w:sz="4" w:space="0"/>
              <w:bottom w:val="single" w:color="000000" w:sz="4" w:space="0"/>
              <w:right w:val="single" w:color="000000" w:sz="4" w:space="0"/>
            </w:tcBorders>
            <w:shd w:val="pct20"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三级指标</w:t>
            </w:r>
          </w:p>
        </w:tc>
        <w:tc>
          <w:tcPr>
            <w:tcW w:w="650" w:type="dxa"/>
            <w:tcBorders>
              <w:top w:val="single" w:color="000000" w:sz="4" w:space="0"/>
              <w:left w:val="single" w:color="000000" w:sz="4" w:space="0"/>
              <w:bottom w:val="single" w:color="000000" w:sz="4" w:space="0"/>
              <w:right w:val="single" w:color="000000" w:sz="4" w:space="0"/>
            </w:tcBorders>
            <w:shd w:val="pct20"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权重</w:t>
            </w:r>
          </w:p>
        </w:tc>
        <w:tc>
          <w:tcPr>
            <w:tcW w:w="961" w:type="dxa"/>
            <w:tcBorders>
              <w:top w:val="single" w:color="000000" w:sz="4" w:space="0"/>
              <w:left w:val="single" w:color="000000" w:sz="4" w:space="0"/>
              <w:bottom w:val="single" w:color="000000" w:sz="4" w:space="0"/>
              <w:right w:val="single" w:color="000000" w:sz="4" w:space="0"/>
            </w:tcBorders>
            <w:shd w:val="pct20" w:color="auto" w:fill="auto"/>
            <w:tcMar>
              <w:top w:w="10" w:type="dxa"/>
              <w:left w:w="10" w:type="dxa"/>
              <w:right w:w="10" w:type="dxa"/>
            </w:tcMar>
            <w:vAlign w:val="center"/>
          </w:tcPr>
          <w:p>
            <w:pPr>
              <w:keepNext w:val="0"/>
              <w:keepLines w:val="0"/>
              <w:widowControl/>
              <w:suppressLineNumbers w:val="0"/>
              <w:jc w:val="center"/>
              <w:textAlignment w:val="center"/>
              <w:rPr>
                <w:rFonts w:hint="default" w:ascii="仿宋" w:hAnsi="仿宋" w:eastAsia="仿宋" w:cs="仿宋"/>
                <w:b/>
                <w:i w:val="0"/>
                <w:color w:val="000000"/>
                <w:sz w:val="18"/>
                <w:szCs w:val="18"/>
                <w:u w:val="none"/>
                <w:lang w:val="en-US"/>
              </w:rPr>
            </w:pPr>
            <w:r>
              <w:rPr>
                <w:rFonts w:hint="eastAsia" w:ascii="仿宋" w:hAnsi="仿宋" w:eastAsia="仿宋" w:cs="仿宋"/>
                <w:b/>
                <w:i w:val="0"/>
                <w:color w:val="000000"/>
                <w:kern w:val="0"/>
                <w:sz w:val="18"/>
                <w:szCs w:val="18"/>
                <w:u w:val="none"/>
                <w:lang w:val="en-US" w:eastAsia="zh-CN" w:bidi="ar"/>
              </w:rPr>
              <w:t>猗氏</w:t>
            </w:r>
          </w:p>
        </w:tc>
        <w:tc>
          <w:tcPr>
            <w:tcW w:w="946" w:type="dxa"/>
            <w:tcBorders>
              <w:top w:val="single" w:color="000000" w:sz="4" w:space="0"/>
              <w:left w:val="single" w:color="000000" w:sz="4" w:space="0"/>
              <w:bottom w:val="single" w:color="000000" w:sz="4" w:space="0"/>
              <w:right w:val="single" w:color="000000" w:sz="4" w:space="0"/>
            </w:tcBorders>
            <w:shd w:val="pct20" w:color="auto" w:fill="auto"/>
            <w:tcMar>
              <w:top w:w="10" w:type="dxa"/>
              <w:left w:w="10" w:type="dxa"/>
              <w:right w:w="10" w:type="dxa"/>
            </w:tcMar>
            <w:vAlign w:val="center"/>
          </w:tcPr>
          <w:p>
            <w:pPr>
              <w:keepNext w:val="0"/>
              <w:keepLines w:val="0"/>
              <w:widowControl/>
              <w:suppressLineNumbers w:val="0"/>
              <w:jc w:val="center"/>
              <w:textAlignment w:val="center"/>
              <w:rPr>
                <w:rFonts w:hint="default" w:ascii="仿宋" w:hAnsi="仿宋" w:eastAsia="仿宋" w:cs="仿宋"/>
                <w:b/>
                <w:i w:val="0"/>
                <w:color w:val="000000"/>
                <w:sz w:val="18"/>
                <w:szCs w:val="18"/>
                <w:u w:val="none"/>
                <w:lang w:val="en-US"/>
              </w:rPr>
            </w:pPr>
            <w:r>
              <w:rPr>
                <w:rFonts w:hint="eastAsia" w:ascii="仿宋" w:hAnsi="仿宋" w:eastAsia="仿宋" w:cs="仿宋"/>
                <w:b/>
                <w:i w:val="0"/>
                <w:color w:val="000000"/>
                <w:kern w:val="0"/>
                <w:sz w:val="18"/>
                <w:szCs w:val="18"/>
                <w:u w:val="none"/>
                <w:lang w:val="en-US" w:eastAsia="zh-CN" w:bidi="ar"/>
              </w:rPr>
              <w:t>牛杜</w:t>
            </w:r>
          </w:p>
        </w:tc>
        <w:tc>
          <w:tcPr>
            <w:tcW w:w="827" w:type="dxa"/>
            <w:tcBorders>
              <w:top w:val="single" w:color="000000" w:sz="4" w:space="0"/>
              <w:left w:val="single" w:color="000000" w:sz="4" w:space="0"/>
              <w:bottom w:val="single" w:color="000000" w:sz="4" w:space="0"/>
              <w:right w:val="single" w:color="000000" w:sz="4" w:space="0"/>
            </w:tcBorders>
            <w:shd w:val="pct20" w:color="auto" w:fill="auto"/>
            <w:tcMar>
              <w:top w:w="10" w:type="dxa"/>
              <w:left w:w="10" w:type="dxa"/>
              <w:right w:w="10" w:type="dxa"/>
            </w:tcMar>
            <w:vAlign w:val="center"/>
          </w:tcPr>
          <w:p>
            <w:pPr>
              <w:keepNext w:val="0"/>
              <w:keepLines w:val="0"/>
              <w:widowControl/>
              <w:suppressLineNumbers w:val="0"/>
              <w:jc w:val="center"/>
              <w:textAlignment w:val="center"/>
              <w:rPr>
                <w:rFonts w:hint="default" w:ascii="仿宋" w:hAnsi="仿宋" w:eastAsia="仿宋" w:cs="仿宋"/>
                <w:b/>
                <w:i w:val="0"/>
                <w:color w:val="000000"/>
                <w:sz w:val="18"/>
                <w:szCs w:val="18"/>
                <w:u w:val="none"/>
                <w:lang w:val="en-US"/>
              </w:rPr>
            </w:pPr>
            <w:r>
              <w:rPr>
                <w:rFonts w:hint="eastAsia" w:ascii="仿宋" w:hAnsi="仿宋" w:eastAsia="仿宋" w:cs="仿宋"/>
                <w:b/>
                <w:i w:val="0"/>
                <w:color w:val="000000"/>
                <w:kern w:val="0"/>
                <w:sz w:val="18"/>
                <w:szCs w:val="18"/>
                <w:u w:val="none"/>
                <w:lang w:val="en-US" w:eastAsia="zh-CN" w:bidi="ar"/>
              </w:rPr>
              <w:t>庙上</w:t>
            </w:r>
          </w:p>
        </w:tc>
        <w:tc>
          <w:tcPr>
            <w:tcW w:w="864" w:type="dxa"/>
            <w:tcBorders>
              <w:top w:val="single" w:color="000000" w:sz="4" w:space="0"/>
              <w:left w:val="single" w:color="000000" w:sz="4" w:space="0"/>
              <w:bottom w:val="single" w:color="000000" w:sz="4" w:space="0"/>
              <w:right w:val="single" w:color="000000" w:sz="4" w:space="0"/>
            </w:tcBorders>
            <w:shd w:val="pct20" w:color="auto" w:fill="auto"/>
            <w:tcMar>
              <w:top w:w="10" w:type="dxa"/>
              <w:left w:w="10" w:type="dxa"/>
              <w:right w:w="10" w:type="dxa"/>
            </w:tcMar>
            <w:vAlign w:val="center"/>
          </w:tcPr>
          <w:p>
            <w:pPr>
              <w:keepNext w:val="0"/>
              <w:keepLines w:val="0"/>
              <w:widowControl/>
              <w:suppressLineNumbers w:val="0"/>
              <w:jc w:val="center"/>
              <w:textAlignment w:val="center"/>
              <w:rPr>
                <w:rFonts w:hint="default" w:ascii="仿宋" w:hAnsi="仿宋" w:eastAsia="仿宋" w:cs="仿宋"/>
                <w:b/>
                <w:i w:val="0"/>
                <w:color w:val="000000"/>
                <w:sz w:val="18"/>
                <w:szCs w:val="18"/>
                <w:u w:val="none"/>
                <w:lang w:val="en-US"/>
              </w:rPr>
            </w:pPr>
            <w:r>
              <w:rPr>
                <w:rFonts w:hint="eastAsia" w:ascii="仿宋" w:hAnsi="仿宋" w:eastAsia="仿宋" w:cs="仿宋"/>
                <w:b/>
                <w:i w:val="0"/>
                <w:color w:val="000000"/>
                <w:kern w:val="0"/>
                <w:sz w:val="18"/>
                <w:szCs w:val="18"/>
                <w:u w:val="none"/>
                <w:lang w:val="en-US" w:eastAsia="zh-CN" w:bidi="ar"/>
              </w:rPr>
              <w:t>北景</w:t>
            </w:r>
          </w:p>
        </w:tc>
        <w:tc>
          <w:tcPr>
            <w:tcW w:w="900" w:type="dxa"/>
            <w:tcBorders>
              <w:top w:val="single" w:color="000000" w:sz="4" w:space="0"/>
              <w:left w:val="single" w:color="000000" w:sz="4" w:space="0"/>
              <w:bottom w:val="single" w:color="000000" w:sz="4" w:space="0"/>
              <w:right w:val="single" w:color="000000" w:sz="4" w:space="0"/>
            </w:tcBorders>
            <w:shd w:val="pct20" w:color="auto" w:fill="auto"/>
            <w:tcMar>
              <w:top w:w="10" w:type="dxa"/>
              <w:left w:w="10" w:type="dxa"/>
              <w:right w:w="10" w:type="dxa"/>
            </w:tcMar>
            <w:vAlign w:val="center"/>
          </w:tcPr>
          <w:p>
            <w:pPr>
              <w:keepNext w:val="0"/>
              <w:keepLines w:val="0"/>
              <w:widowControl/>
              <w:suppressLineNumbers w:val="0"/>
              <w:jc w:val="center"/>
              <w:textAlignment w:val="center"/>
              <w:rPr>
                <w:rFonts w:hint="default" w:ascii="仿宋" w:hAnsi="仿宋" w:eastAsia="仿宋" w:cs="仿宋"/>
                <w:b/>
                <w:i w:val="0"/>
                <w:color w:val="000000"/>
                <w:sz w:val="18"/>
                <w:szCs w:val="18"/>
                <w:u w:val="none"/>
                <w:lang w:val="en-US"/>
              </w:rPr>
            </w:pPr>
            <w:r>
              <w:rPr>
                <w:rFonts w:hint="eastAsia" w:ascii="仿宋" w:hAnsi="仿宋" w:eastAsia="仿宋" w:cs="仿宋"/>
                <w:b/>
                <w:i w:val="0"/>
                <w:color w:val="000000"/>
                <w:kern w:val="0"/>
                <w:sz w:val="18"/>
                <w:szCs w:val="18"/>
                <w:u w:val="none"/>
                <w:lang w:val="en-US" w:eastAsia="zh-CN" w:bidi="ar"/>
              </w:rPr>
              <w:t>中医院</w:t>
            </w:r>
          </w:p>
        </w:tc>
        <w:tc>
          <w:tcPr>
            <w:tcW w:w="1000" w:type="dxa"/>
            <w:tcBorders>
              <w:top w:val="single" w:color="000000" w:sz="4" w:space="0"/>
              <w:left w:val="single" w:color="000000" w:sz="4" w:space="0"/>
              <w:bottom w:val="single" w:color="000000" w:sz="4" w:space="0"/>
              <w:right w:val="single" w:color="000000" w:sz="4" w:space="0"/>
            </w:tcBorders>
            <w:shd w:val="pct20" w:color="auto" w:fill="auto"/>
            <w:tcMar>
              <w:top w:w="10" w:type="dxa"/>
              <w:left w:w="10" w:type="dxa"/>
              <w:right w:w="10" w:type="dxa"/>
            </w:tcMar>
            <w:vAlign w:val="center"/>
          </w:tcPr>
          <w:p>
            <w:pPr>
              <w:keepNext w:val="0"/>
              <w:keepLines w:val="0"/>
              <w:widowControl/>
              <w:suppressLineNumbers w:val="0"/>
              <w:jc w:val="center"/>
              <w:textAlignment w:val="center"/>
              <w:rPr>
                <w:rFonts w:hint="default" w:ascii="仿宋" w:hAnsi="仿宋" w:eastAsia="仿宋" w:cs="仿宋"/>
                <w:b/>
                <w:i w:val="0"/>
                <w:color w:val="000000"/>
                <w:sz w:val="18"/>
                <w:szCs w:val="18"/>
                <w:u w:val="none"/>
                <w:lang w:val="en-US"/>
              </w:rPr>
            </w:pPr>
            <w:r>
              <w:rPr>
                <w:rFonts w:hint="eastAsia" w:ascii="仿宋" w:hAnsi="仿宋" w:eastAsia="仿宋" w:cs="仿宋"/>
                <w:b/>
                <w:i w:val="0"/>
                <w:color w:val="000000"/>
                <w:kern w:val="0"/>
                <w:sz w:val="18"/>
                <w:szCs w:val="18"/>
                <w:u w:val="none"/>
                <w:lang w:val="en-US" w:eastAsia="zh-CN" w:bidi="ar"/>
              </w:rPr>
              <w:t>医疗集团</w:t>
            </w:r>
          </w:p>
        </w:tc>
        <w:tc>
          <w:tcPr>
            <w:tcW w:w="900" w:type="dxa"/>
            <w:tcBorders>
              <w:top w:val="single" w:color="000000" w:sz="4" w:space="0"/>
              <w:left w:val="single" w:color="000000" w:sz="4" w:space="0"/>
              <w:bottom w:val="single" w:color="000000" w:sz="4" w:space="0"/>
              <w:right w:val="single" w:color="000000" w:sz="4" w:space="0"/>
            </w:tcBorders>
            <w:shd w:val="pct20"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监督所</w:t>
            </w:r>
          </w:p>
        </w:tc>
        <w:tc>
          <w:tcPr>
            <w:tcW w:w="982" w:type="dxa"/>
            <w:tcBorders>
              <w:top w:val="single" w:color="000000" w:sz="4" w:space="0"/>
              <w:left w:val="single" w:color="000000" w:sz="4" w:space="0"/>
              <w:bottom w:val="single" w:color="000000" w:sz="4" w:space="0"/>
              <w:right w:val="single" w:color="000000" w:sz="4" w:space="0"/>
            </w:tcBorders>
            <w:shd w:val="pct20" w:color="auto" w:fill="auto"/>
            <w:tcMar>
              <w:top w:w="10" w:type="dxa"/>
              <w:left w:w="10" w:type="dxa"/>
              <w:right w:w="10" w:type="dxa"/>
            </w:tcMar>
            <w:vAlign w:val="center"/>
          </w:tcPr>
          <w:p>
            <w:pPr>
              <w:keepNext w:val="0"/>
              <w:keepLines w:val="0"/>
              <w:widowControl/>
              <w:suppressLineNumbers w:val="0"/>
              <w:jc w:val="center"/>
              <w:textAlignment w:val="center"/>
              <w:rPr>
                <w:rFonts w:hint="default" w:ascii="仿宋" w:hAnsi="仿宋" w:eastAsia="仿宋" w:cs="仿宋"/>
                <w:b/>
                <w:i w:val="0"/>
                <w:color w:val="000000"/>
                <w:sz w:val="18"/>
                <w:szCs w:val="18"/>
                <w:u w:val="none"/>
                <w:lang w:val="en-US" w:eastAsia="zh-CN"/>
              </w:rPr>
            </w:pPr>
            <w:r>
              <w:rPr>
                <w:rFonts w:hint="eastAsia" w:ascii="仿宋" w:hAnsi="仿宋" w:eastAsia="仿宋" w:cs="仿宋"/>
                <w:b/>
                <w:i w:val="0"/>
                <w:color w:val="000000"/>
                <w:sz w:val="18"/>
                <w:szCs w:val="18"/>
                <w:u w:val="none"/>
                <w:lang w:val="en-US" w:eastAsia="zh-CN"/>
              </w:rPr>
              <w:t>临猗县疾控中心</w:t>
            </w:r>
          </w:p>
        </w:tc>
        <w:tc>
          <w:tcPr>
            <w:tcW w:w="918" w:type="dxa"/>
            <w:tcBorders>
              <w:top w:val="single" w:color="000000" w:sz="4" w:space="0"/>
              <w:left w:val="single" w:color="000000" w:sz="4" w:space="0"/>
              <w:bottom w:val="single" w:color="000000" w:sz="4" w:space="0"/>
              <w:right w:val="single" w:color="000000" w:sz="4" w:space="0"/>
            </w:tcBorders>
            <w:shd w:val="pct20"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临猗妇幼院</w:t>
            </w:r>
          </w:p>
        </w:tc>
        <w:tc>
          <w:tcPr>
            <w:tcW w:w="1009" w:type="dxa"/>
            <w:tcBorders>
              <w:top w:val="single" w:color="000000" w:sz="4" w:space="0"/>
              <w:left w:val="single" w:color="000000" w:sz="4" w:space="0"/>
              <w:bottom w:val="single" w:color="000000" w:sz="4" w:space="0"/>
              <w:right w:val="single" w:color="000000" w:sz="4" w:space="0"/>
            </w:tcBorders>
            <w:shd w:val="pct20"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18"/>
                <w:szCs w:val="18"/>
                <w:u w:val="none"/>
                <w:lang w:val="en-US" w:eastAsia="zh-CN" w:bidi="ar"/>
              </w:rPr>
            </w:pPr>
            <w:r>
              <w:rPr>
                <w:rFonts w:hint="eastAsia" w:ascii="仿宋" w:hAnsi="仿宋" w:eastAsia="仿宋" w:cs="仿宋"/>
                <w:b/>
                <w:i w:val="0"/>
                <w:color w:val="000000"/>
                <w:kern w:val="0"/>
                <w:sz w:val="18"/>
                <w:szCs w:val="18"/>
                <w:u w:val="none"/>
                <w:lang w:val="en-US" w:eastAsia="zh-CN" w:bidi="ar"/>
              </w:rPr>
              <w:t>卫体局</w:t>
            </w:r>
          </w:p>
        </w:tc>
        <w:tc>
          <w:tcPr>
            <w:tcW w:w="1038" w:type="dxa"/>
            <w:tcBorders>
              <w:top w:val="single" w:color="000000" w:sz="4" w:space="0"/>
              <w:left w:val="single" w:color="000000" w:sz="4" w:space="0"/>
              <w:bottom w:val="single" w:color="000000" w:sz="4" w:space="0"/>
              <w:right w:val="single" w:color="000000" w:sz="4" w:space="0"/>
            </w:tcBorders>
            <w:shd w:val="pct20"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综合得分</w:t>
            </w:r>
          </w:p>
        </w:tc>
      </w:tr>
      <w:tr>
        <w:tblPrEx>
          <w:shd w:val="clear" w:color="auto" w:fill="auto"/>
          <w:tblCellMar>
            <w:top w:w="0" w:type="dxa"/>
            <w:left w:w="0" w:type="dxa"/>
            <w:bottom w:w="0" w:type="dxa"/>
            <w:right w:w="0" w:type="dxa"/>
          </w:tblCellMar>
        </w:tblPrEx>
        <w:trPr>
          <w:trHeight w:val="480" w:hRule="atLeast"/>
        </w:trPr>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决策 </w:t>
            </w:r>
          </w:p>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（8分）</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color w:val="000000"/>
                <w:kern w:val="0"/>
                <w:sz w:val="18"/>
                <w:szCs w:val="18"/>
                <w:u w:val="none"/>
                <w:lang w:val="en-US" w:eastAsia="zh-CN" w:bidi="ar"/>
              </w:rPr>
              <w:t>项目决策</w:t>
            </w:r>
          </w:p>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决策依据充分性</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color w:val="000000"/>
                <w:kern w:val="0"/>
                <w:sz w:val="18"/>
                <w:szCs w:val="18"/>
                <w:u w:val="none"/>
                <w:lang w:val="en-US" w:eastAsia="zh-CN" w:bidi="ar"/>
              </w:rPr>
              <w:t>绩效目标</w:t>
            </w:r>
          </w:p>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（4分）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绩效目标合理性</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绩效指标明确性</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color w:val="000000"/>
                <w:kern w:val="0"/>
                <w:sz w:val="18"/>
                <w:szCs w:val="18"/>
                <w:u w:val="none"/>
                <w:lang w:val="en-US" w:eastAsia="zh-CN" w:bidi="ar"/>
              </w:rPr>
              <w:t>资金投入</w:t>
            </w:r>
          </w:p>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（3分）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预算编制科学性</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资金分配合理性</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shd w:val="clear" w:color="auto" w:fill="auto"/>
          <w:tblCellMar>
            <w:top w:w="0" w:type="dxa"/>
            <w:left w:w="0" w:type="dxa"/>
            <w:bottom w:w="0" w:type="dxa"/>
            <w:right w:w="0" w:type="dxa"/>
          </w:tblCellMar>
        </w:tblPrEx>
        <w:trPr>
          <w:trHeight w:val="280" w:hRule="atLeast"/>
        </w:trPr>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过程</w:t>
            </w:r>
          </w:p>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（24分）</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资金管理（10分）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资金到位率</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shd w:val="clear" w:color="auto" w:fill="auto"/>
          <w:tblCellMar>
            <w:top w:w="0" w:type="dxa"/>
            <w:left w:w="0" w:type="dxa"/>
            <w:bottom w:w="0" w:type="dxa"/>
            <w:right w:w="0" w:type="dxa"/>
          </w:tblCellMar>
        </w:tblPrEx>
        <w:trPr>
          <w:trHeight w:val="2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预算执行率</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nil"/>
              <w:left w:val="nil"/>
              <w:bottom w:val="nil"/>
              <w:right w:val="nil"/>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r>
      <w:tr>
        <w:tblPrEx>
          <w:shd w:val="clear" w:color="auto" w:fill="auto"/>
          <w:tblCellMar>
            <w:top w:w="0" w:type="dxa"/>
            <w:left w:w="0" w:type="dxa"/>
            <w:bottom w:w="0" w:type="dxa"/>
            <w:right w:w="0" w:type="dxa"/>
          </w:tblCellMar>
        </w:tblPrEx>
        <w:trPr>
          <w:trHeight w:val="60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资金使用合规性</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3.68</w:t>
            </w:r>
          </w:p>
        </w:tc>
      </w:tr>
      <w:tr>
        <w:tblPrEx>
          <w:shd w:val="clear" w:color="auto" w:fill="auto"/>
          <w:tblCellMar>
            <w:top w:w="0" w:type="dxa"/>
            <w:left w:w="0" w:type="dxa"/>
            <w:bottom w:w="0" w:type="dxa"/>
            <w:right w:w="0" w:type="dxa"/>
          </w:tblCellMar>
        </w:tblPrEx>
        <w:trPr>
          <w:trHeight w:val="50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组织实施（14分）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组织分工</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管理制度健全性</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5"/>
                <w:szCs w:val="15"/>
                <w:u w:val="none"/>
                <w:lang w:val="en-US" w:eastAsia="zh-CN" w:bidi="ar"/>
              </w:rPr>
              <w:t>制度执行有效性</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5.09</w:t>
            </w:r>
          </w:p>
        </w:tc>
      </w:tr>
      <w:tr>
        <w:tblPrEx>
          <w:shd w:val="clear" w:color="auto" w:fill="auto"/>
          <w:tblCellMar>
            <w:top w:w="0" w:type="dxa"/>
            <w:left w:w="0" w:type="dxa"/>
            <w:bottom w:w="0" w:type="dxa"/>
            <w:right w:w="0" w:type="dxa"/>
          </w:tblCellMar>
        </w:tblPrEx>
        <w:trPr>
          <w:trHeight w:val="2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档案管理</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1.67</w:t>
            </w:r>
          </w:p>
        </w:tc>
      </w:tr>
      <w:tr>
        <w:tblPrEx>
          <w:shd w:val="clear" w:color="auto" w:fill="auto"/>
          <w:tblCellMar>
            <w:top w:w="0" w:type="dxa"/>
            <w:left w:w="0" w:type="dxa"/>
            <w:bottom w:w="0" w:type="dxa"/>
            <w:right w:w="0" w:type="dxa"/>
          </w:tblCellMar>
        </w:tblPrEx>
        <w:trPr>
          <w:trHeight w:val="480" w:hRule="atLeast"/>
        </w:trPr>
        <w:tc>
          <w:tcPr>
            <w:tcW w:w="87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产出 </w:t>
            </w:r>
          </w:p>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（40分）</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color w:val="000000"/>
                <w:kern w:val="0"/>
                <w:sz w:val="18"/>
                <w:szCs w:val="18"/>
                <w:u w:val="none"/>
                <w:lang w:val="en-US" w:eastAsia="zh-CN" w:bidi="ar"/>
              </w:rPr>
              <w:t>居民健康档案管理</w:t>
            </w:r>
          </w:p>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（2分）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电子健康档案建档率</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健康档案动态使用率</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color w:val="000000"/>
                <w:kern w:val="0"/>
                <w:sz w:val="18"/>
                <w:szCs w:val="18"/>
                <w:u w:val="none"/>
                <w:lang w:val="en-US" w:eastAsia="zh-CN" w:bidi="ar"/>
              </w:rPr>
              <w:t>健康教育</w:t>
            </w:r>
          </w:p>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（4分）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公众健康咨询活动</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0.6</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0.968</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健康知识讲座</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0.745</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健康教育宣传栏设置</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0.95</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健康教育宣传资料</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0.816</w:t>
            </w:r>
          </w:p>
        </w:tc>
      </w:tr>
      <w:tr>
        <w:tblPrEx>
          <w:shd w:val="clear" w:color="auto" w:fill="auto"/>
          <w:tblCellMar>
            <w:top w:w="0" w:type="dxa"/>
            <w:left w:w="0" w:type="dxa"/>
            <w:bottom w:w="0" w:type="dxa"/>
            <w:right w:w="0" w:type="dxa"/>
          </w:tblCellMar>
        </w:tblPrEx>
        <w:trPr>
          <w:trHeight w:val="420" w:hRule="atLeast"/>
        </w:trPr>
        <w:tc>
          <w:tcPr>
            <w:tcW w:w="87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color w:val="000000"/>
                <w:kern w:val="0"/>
                <w:sz w:val="18"/>
                <w:szCs w:val="18"/>
                <w:u w:val="none"/>
                <w:lang w:val="en-US" w:eastAsia="zh-CN" w:bidi="ar"/>
              </w:rPr>
              <w:t>预防接种</w:t>
            </w:r>
          </w:p>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（3分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建证率</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shd w:val="clear" w:color="auto" w:fill="auto"/>
          <w:tblCellMar>
            <w:top w:w="0" w:type="dxa"/>
            <w:left w:w="0" w:type="dxa"/>
            <w:bottom w:w="0" w:type="dxa"/>
            <w:right w:w="0" w:type="dxa"/>
          </w:tblCellMar>
        </w:tblPrEx>
        <w:trPr>
          <w:trHeight w:val="440" w:hRule="atLeast"/>
        </w:trPr>
        <w:tc>
          <w:tcPr>
            <w:tcW w:w="87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疫苗接种率</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1.412</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儿童健康管理(4分）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新生儿访视率</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儿童健康管理率</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shd w:val="clear" w:color="auto" w:fill="auto"/>
          <w:tblCellMar>
            <w:top w:w="0" w:type="dxa"/>
            <w:left w:w="0" w:type="dxa"/>
            <w:bottom w:w="0" w:type="dxa"/>
            <w:right w:w="0" w:type="dxa"/>
          </w:tblCellMar>
        </w:tblPrEx>
        <w:trPr>
          <w:trHeight w:val="480" w:hRule="atLeast"/>
        </w:trPr>
        <w:tc>
          <w:tcPr>
            <w:tcW w:w="87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产出 </w:t>
            </w:r>
          </w:p>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（40分）</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孕、产、妇女健康管理   （6分）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孕产妇健康管理</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1.055</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农村妇女“两癌”检查</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r>
      <w:tr>
        <w:tblPrEx>
          <w:shd w:val="clear" w:color="auto" w:fill="auto"/>
          <w:tblCellMar>
            <w:top w:w="0" w:type="dxa"/>
            <w:left w:w="0" w:type="dxa"/>
            <w:bottom w:w="0" w:type="dxa"/>
            <w:right w:w="0" w:type="dxa"/>
          </w:tblCellMar>
        </w:tblPrEx>
        <w:trPr>
          <w:trHeight w:val="720" w:hRule="atLeast"/>
        </w:trPr>
        <w:tc>
          <w:tcPr>
            <w:tcW w:w="87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增补叶酸预防神经管缺陷</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0.978</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0.978</w:t>
            </w:r>
          </w:p>
        </w:tc>
      </w:tr>
      <w:tr>
        <w:tblPrEx>
          <w:shd w:val="clear" w:color="auto" w:fill="auto"/>
          <w:tblCellMar>
            <w:top w:w="0" w:type="dxa"/>
            <w:left w:w="0" w:type="dxa"/>
            <w:bottom w:w="0" w:type="dxa"/>
            <w:right w:w="0" w:type="dxa"/>
          </w:tblCellMar>
        </w:tblPrEx>
        <w:trPr>
          <w:trHeight w:val="580" w:hRule="atLeast"/>
        </w:trPr>
        <w:tc>
          <w:tcPr>
            <w:tcW w:w="87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免费孕前优生健康检查</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r>
      <w:tr>
        <w:tblPrEx>
          <w:shd w:val="clear" w:color="auto" w:fill="auto"/>
          <w:tblCellMar>
            <w:top w:w="0" w:type="dxa"/>
            <w:left w:w="0" w:type="dxa"/>
            <w:bottom w:w="0" w:type="dxa"/>
            <w:right w:w="0" w:type="dxa"/>
          </w:tblCellMar>
        </w:tblPrEx>
        <w:trPr>
          <w:trHeight w:val="720" w:hRule="atLeast"/>
        </w:trPr>
        <w:tc>
          <w:tcPr>
            <w:tcW w:w="87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老年人健康管理 （3分）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老年人健康管理率</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1.164</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宋体"/>
                <w:kern w:val="0"/>
                <w:sz w:val="20"/>
                <w:szCs w:val="20"/>
                <w:lang w:val="en-US" w:eastAsia="zh-CN"/>
              </w:rPr>
              <w:t>老年健康与医养结合</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慢性病健康管理 （4分）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高血压患者健康管理率</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1.086</w:t>
            </w:r>
          </w:p>
        </w:tc>
      </w:tr>
      <w:tr>
        <w:tblPrEx>
          <w:shd w:val="clear" w:color="auto" w:fill="auto"/>
          <w:tblCellMar>
            <w:top w:w="0" w:type="dxa"/>
            <w:left w:w="0" w:type="dxa"/>
            <w:bottom w:w="0" w:type="dxa"/>
            <w:right w:w="0" w:type="dxa"/>
          </w:tblCellMar>
        </w:tblPrEx>
        <w:trPr>
          <w:trHeight w:val="720" w:hRule="atLeast"/>
        </w:trPr>
        <w:tc>
          <w:tcPr>
            <w:tcW w:w="87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2型糖尿病患者健康管理率</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1.069</w:t>
            </w:r>
          </w:p>
        </w:tc>
      </w:tr>
      <w:tr>
        <w:tblPrEx>
          <w:shd w:val="clear" w:color="auto" w:fill="auto"/>
          <w:tblCellMar>
            <w:top w:w="0" w:type="dxa"/>
            <w:left w:w="0" w:type="dxa"/>
            <w:bottom w:w="0" w:type="dxa"/>
            <w:right w:w="0" w:type="dxa"/>
          </w:tblCellMar>
        </w:tblPrEx>
        <w:trPr>
          <w:trHeight w:val="960" w:hRule="atLeast"/>
        </w:trPr>
        <w:tc>
          <w:tcPr>
            <w:tcW w:w="870" w:type="dxa"/>
            <w:vMerge w:val="continue"/>
            <w:tcBorders>
              <w:left w:val="single" w:color="000000" w:sz="4" w:space="0"/>
              <w:bottom w:val="nil"/>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严重精神障碍患者管理   （1分）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严重精神障碍患者管理率</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both"/>
              <w:textAlignment w:val="bottom"/>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0.864</w:t>
            </w:r>
          </w:p>
        </w:tc>
      </w:tr>
      <w:tr>
        <w:tblPrEx>
          <w:shd w:val="clear" w:color="auto" w:fill="auto"/>
          <w:tblCellMar>
            <w:top w:w="0" w:type="dxa"/>
            <w:left w:w="0" w:type="dxa"/>
            <w:bottom w:w="0" w:type="dxa"/>
            <w:right w:w="0" w:type="dxa"/>
          </w:tblCellMar>
        </w:tblPrEx>
        <w:trPr>
          <w:trHeight w:val="720" w:hRule="atLeast"/>
        </w:trPr>
        <w:tc>
          <w:tcPr>
            <w:tcW w:w="870" w:type="dxa"/>
            <w:vMerge w:val="restart"/>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kern w:val="0"/>
                <w:sz w:val="18"/>
                <w:szCs w:val="18"/>
                <w:u w:val="none"/>
                <w:lang w:val="en-US" w:eastAsia="zh-CN" w:bidi="ar"/>
              </w:rPr>
            </w:pPr>
          </w:p>
          <w:p>
            <w:pPr>
              <w:jc w:val="center"/>
              <w:rPr>
                <w:rFonts w:hint="eastAsia" w:ascii="宋体" w:hAnsi="宋体" w:eastAsia="宋体" w:cs="宋体"/>
                <w:i w:val="0"/>
                <w:color w:val="000000"/>
                <w:kern w:val="0"/>
                <w:sz w:val="18"/>
                <w:szCs w:val="18"/>
                <w:u w:val="none"/>
                <w:lang w:val="en-US" w:eastAsia="zh-CN" w:bidi="ar"/>
              </w:rPr>
            </w:pPr>
          </w:p>
          <w:p>
            <w:pPr>
              <w:jc w:val="center"/>
              <w:rPr>
                <w:rFonts w:hint="eastAsia" w:ascii="宋体" w:hAnsi="宋体" w:eastAsia="宋体" w:cs="宋体"/>
                <w:i w:val="0"/>
                <w:color w:val="000000"/>
                <w:kern w:val="0"/>
                <w:sz w:val="18"/>
                <w:szCs w:val="18"/>
                <w:u w:val="none"/>
                <w:lang w:val="en-US" w:eastAsia="zh-CN" w:bidi="ar"/>
              </w:rPr>
            </w:pPr>
          </w:p>
          <w:p>
            <w:pPr>
              <w:jc w:val="center"/>
              <w:rPr>
                <w:rFonts w:hint="eastAsia" w:ascii="宋体" w:hAnsi="宋体" w:eastAsia="宋体" w:cs="宋体"/>
                <w:i w:val="0"/>
                <w:color w:val="000000"/>
                <w:kern w:val="0"/>
                <w:sz w:val="18"/>
                <w:szCs w:val="18"/>
                <w:u w:val="none"/>
                <w:lang w:val="en-US" w:eastAsia="zh-CN" w:bidi="ar"/>
              </w:rPr>
            </w:pPr>
          </w:p>
          <w:p>
            <w:pPr>
              <w:jc w:val="center"/>
              <w:rPr>
                <w:rFonts w:hint="eastAsia" w:ascii="宋体" w:hAnsi="宋体" w:eastAsia="宋体" w:cs="宋体"/>
                <w:i w:val="0"/>
                <w:color w:val="000000"/>
                <w:kern w:val="0"/>
                <w:sz w:val="18"/>
                <w:szCs w:val="18"/>
                <w:u w:val="none"/>
                <w:lang w:val="en-US" w:eastAsia="zh-CN" w:bidi="ar"/>
              </w:rPr>
            </w:pPr>
          </w:p>
          <w:p>
            <w:pPr>
              <w:jc w:val="center"/>
              <w:rPr>
                <w:rFonts w:hint="eastAsia" w:ascii="宋体" w:hAnsi="宋体" w:eastAsia="宋体" w:cs="宋体"/>
                <w:i w:val="0"/>
                <w:color w:val="000000"/>
                <w:kern w:val="0"/>
                <w:sz w:val="18"/>
                <w:szCs w:val="18"/>
                <w:u w:val="none"/>
                <w:lang w:val="en-US" w:eastAsia="zh-CN" w:bidi="ar"/>
              </w:rPr>
            </w:pPr>
          </w:p>
          <w:p>
            <w:pPr>
              <w:jc w:val="center"/>
              <w:rPr>
                <w:rFonts w:hint="eastAsia" w:ascii="宋体" w:hAnsi="宋体" w:eastAsia="宋体" w:cs="宋体"/>
                <w:i w:val="0"/>
                <w:color w:val="000000"/>
                <w:kern w:val="0"/>
                <w:sz w:val="18"/>
                <w:szCs w:val="18"/>
                <w:u w:val="none"/>
                <w:lang w:val="en-US" w:eastAsia="zh-CN" w:bidi="ar"/>
              </w:rPr>
            </w:pPr>
          </w:p>
          <w:p>
            <w:pPr>
              <w:jc w:val="center"/>
              <w:rPr>
                <w:rFonts w:hint="eastAsia" w:ascii="宋体" w:hAnsi="宋体" w:eastAsia="宋体" w:cs="宋体"/>
                <w:i w:val="0"/>
                <w:color w:val="000000"/>
                <w:kern w:val="0"/>
                <w:sz w:val="18"/>
                <w:szCs w:val="18"/>
                <w:u w:val="none"/>
                <w:lang w:val="en-US" w:eastAsia="zh-CN" w:bidi="ar"/>
              </w:rPr>
            </w:pPr>
          </w:p>
          <w:p>
            <w:pPr>
              <w:jc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产出    （40分）</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结核病患者健康管理（1分）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结核病患者健康管理</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shd w:val="clear" w:color="auto" w:fill="auto"/>
          <w:tblCellMar>
            <w:top w:w="0" w:type="dxa"/>
            <w:left w:w="0" w:type="dxa"/>
            <w:bottom w:w="0" w:type="dxa"/>
            <w:right w:w="0" w:type="dxa"/>
          </w:tblCellMar>
        </w:tblPrEx>
        <w:trPr>
          <w:trHeight w:val="72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中医药健康管理（2分）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老年人中医药健康管理率</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0.476</w:t>
            </w:r>
          </w:p>
        </w:tc>
      </w:tr>
      <w:tr>
        <w:tblPrEx>
          <w:shd w:val="clear" w:color="auto" w:fill="auto"/>
          <w:tblCellMar>
            <w:top w:w="0" w:type="dxa"/>
            <w:left w:w="0" w:type="dxa"/>
            <w:bottom w:w="0" w:type="dxa"/>
            <w:right w:w="0" w:type="dxa"/>
          </w:tblCellMar>
        </w:tblPrEx>
        <w:trPr>
          <w:trHeight w:val="72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0-36个月儿童中医药健康管理率</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0.33</w:t>
            </w:r>
          </w:p>
        </w:tc>
      </w:tr>
      <w:tr>
        <w:tblPrEx>
          <w:shd w:val="clear" w:color="auto" w:fill="auto"/>
          <w:tblCellMar>
            <w:top w:w="0" w:type="dxa"/>
            <w:left w:w="0" w:type="dxa"/>
            <w:bottom w:w="0" w:type="dxa"/>
            <w:right w:w="0" w:type="dxa"/>
          </w:tblCellMar>
        </w:tblPrEx>
        <w:trPr>
          <w:trHeight w:val="64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传染病和突发公共卫生事件报告和处理（2分）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传染病疫情报告和处理</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shd w:val="clear" w:color="auto" w:fill="auto"/>
          <w:tblCellMar>
            <w:top w:w="0" w:type="dxa"/>
            <w:left w:w="0" w:type="dxa"/>
            <w:bottom w:w="0" w:type="dxa"/>
            <w:right w:w="0" w:type="dxa"/>
          </w:tblCellMar>
        </w:tblPrEx>
        <w:trPr>
          <w:trHeight w:val="72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突发公共卫生事件报告和处理</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shd w:val="clear" w:color="auto" w:fill="auto"/>
          <w:tblCellMar>
            <w:top w:w="0" w:type="dxa"/>
            <w:left w:w="0" w:type="dxa"/>
            <w:bottom w:w="0" w:type="dxa"/>
            <w:right w:w="0" w:type="dxa"/>
          </w:tblCellMar>
        </w:tblPrEx>
        <w:trPr>
          <w:trHeight w:val="72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卫生计生监督协管（1分）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卫生计生监督协管</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jc w:val="left"/>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r>
      <w:tr>
        <w:tblPrEx>
          <w:shd w:val="clear" w:color="auto" w:fill="auto"/>
          <w:tblCellMar>
            <w:top w:w="0" w:type="dxa"/>
            <w:left w:w="0" w:type="dxa"/>
            <w:bottom w:w="0" w:type="dxa"/>
            <w:right w:w="0" w:type="dxa"/>
          </w:tblCellMar>
        </w:tblPrEx>
        <w:trPr>
          <w:trHeight w:val="56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基本避孕服务(1分）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免费提供基本避孕药具</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0.265</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免费基本避免手术</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0.7</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r>
      <w:tr>
        <w:tblPrEx>
          <w:shd w:val="clear" w:color="auto" w:fill="auto"/>
          <w:tblCellMar>
            <w:top w:w="0" w:type="dxa"/>
            <w:left w:w="0" w:type="dxa"/>
            <w:bottom w:w="0" w:type="dxa"/>
            <w:right w:w="0" w:type="dxa"/>
          </w:tblCellMar>
        </w:tblPrEx>
        <w:trPr>
          <w:trHeight w:val="720" w:hRule="atLeast"/>
        </w:trPr>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产出    （40分）</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健康素养促进行动（1分）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健康素养促进行动</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0.444</w:t>
            </w:r>
          </w:p>
        </w:tc>
      </w:tr>
      <w:tr>
        <w:tblPrEx>
          <w:shd w:val="clear" w:color="auto" w:fill="auto"/>
          <w:tblCellMar>
            <w:top w:w="0" w:type="dxa"/>
            <w:left w:w="0" w:type="dxa"/>
            <w:bottom w:w="0" w:type="dxa"/>
            <w:right w:w="0" w:type="dxa"/>
          </w:tblCellMar>
        </w:tblPrEx>
        <w:trPr>
          <w:trHeight w:val="72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地方病防治（1分）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地方病防治</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职业病防治（1分）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职业病防治</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0.6</w:t>
            </w:r>
          </w:p>
        </w:tc>
      </w:tr>
      <w:tr>
        <w:tblPrEx>
          <w:shd w:val="clear" w:color="auto" w:fill="auto"/>
          <w:tblCellMar>
            <w:top w:w="0" w:type="dxa"/>
            <w:left w:w="0" w:type="dxa"/>
            <w:bottom w:w="0" w:type="dxa"/>
            <w:right w:w="0" w:type="dxa"/>
          </w:tblCellMar>
        </w:tblPrEx>
        <w:trPr>
          <w:trHeight w:val="40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重大疾病与健康危害因素监测（1.5分）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疾病监测</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健康危害因素监测</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sz w:val="18"/>
                <w:szCs w:val="18"/>
                <w:u w:val="none"/>
                <w:lang w:val="en-US"/>
              </w:rPr>
            </w:pPr>
            <w:r>
              <w:rPr>
                <w:rFonts w:hint="eastAsia" w:ascii="宋体" w:hAnsi="宋体" w:eastAsia="宋体" w:cs="宋体"/>
                <w:i w:val="0"/>
                <w:color w:val="000000"/>
                <w:kern w:val="0"/>
                <w:sz w:val="18"/>
                <w:szCs w:val="18"/>
                <w:u w:val="none"/>
                <w:lang w:val="en-US" w:eastAsia="zh-CN" w:bidi="ar"/>
              </w:rPr>
              <w:t>0.5</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0.375</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0.375</w:t>
            </w:r>
          </w:p>
        </w:tc>
      </w:tr>
      <w:tr>
        <w:tblPrEx>
          <w:shd w:val="clear" w:color="auto" w:fill="auto"/>
          <w:tblCellMar>
            <w:top w:w="0" w:type="dxa"/>
            <w:left w:w="0" w:type="dxa"/>
            <w:bottom w:w="0" w:type="dxa"/>
            <w:right w:w="0" w:type="dxa"/>
          </w:tblCellMar>
        </w:tblPrEx>
        <w:trPr>
          <w:trHeight w:val="72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国家随机监督抽查(0.5分 )</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国抽完成情况</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0.5</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w:t>
            </w:r>
          </w:p>
        </w:tc>
      </w:tr>
      <w:tr>
        <w:tblPrEx>
          <w:shd w:val="clear" w:color="auto" w:fill="auto"/>
          <w:tblCellMar>
            <w:top w:w="0" w:type="dxa"/>
            <w:left w:w="0" w:type="dxa"/>
            <w:bottom w:w="0" w:type="dxa"/>
            <w:right w:w="0" w:type="dxa"/>
          </w:tblCellMar>
        </w:tblPrEx>
        <w:trPr>
          <w:trHeight w:val="54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18"/>
                <w:szCs w:val="18"/>
                <w:u w:val="none"/>
                <w:lang w:val="en-US" w:eastAsia="zh-CN" w:bidi="ar"/>
              </w:rPr>
            </w:pPr>
            <w:r>
              <w:rPr>
                <w:rFonts w:hint="eastAsia" w:ascii="仿宋" w:hAnsi="仿宋" w:eastAsia="仿宋" w:cs="仿宋"/>
                <w:i w:val="0"/>
                <w:color w:val="000000"/>
                <w:kern w:val="0"/>
                <w:sz w:val="18"/>
                <w:szCs w:val="18"/>
                <w:u w:val="none"/>
                <w:lang w:val="en-US" w:eastAsia="zh-CN" w:bidi="ar"/>
              </w:rPr>
              <w:t>人口监测（1分）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color w:val="000000"/>
                <w:kern w:val="0"/>
                <w:sz w:val="18"/>
                <w:szCs w:val="18"/>
                <w:u w:val="none"/>
                <w:lang w:val="en-US" w:eastAsia="zh-CN" w:bidi="ar"/>
              </w:rPr>
              <w:t>人口监测</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0.4</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0.4</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kern w:val="0"/>
                <w:sz w:val="18"/>
                <w:szCs w:val="18"/>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default" w:ascii="宋体" w:hAnsi="宋体" w:eastAsia="宋体" w:cs="宋体"/>
                <w:i w:val="0"/>
                <w:color w:val="000000"/>
                <w:sz w:val="18"/>
                <w:szCs w:val="18"/>
                <w:highlight w:val="green"/>
                <w:u w:val="none"/>
                <w:lang w:val="en-US" w:eastAsia="zh-CN"/>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highlight w:val="green"/>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highlight w:val="green"/>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0.4</w:t>
            </w:r>
          </w:p>
        </w:tc>
      </w:tr>
      <w:tr>
        <w:tblPrEx>
          <w:shd w:val="clear" w:color="auto" w:fill="auto"/>
          <w:tblCellMar>
            <w:top w:w="0" w:type="dxa"/>
            <w:left w:w="0" w:type="dxa"/>
            <w:bottom w:w="0" w:type="dxa"/>
            <w:right w:w="0" w:type="dxa"/>
          </w:tblCellMar>
        </w:tblPrEx>
        <w:trPr>
          <w:trHeight w:val="540" w:hRule="atLeast"/>
        </w:trPr>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效果    （28分）</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重点人群管理效果   （6分）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高血压患者血压控制率</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1.532</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糖尿病患者血糖控制率</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1.532</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老妇幼健康水平提升</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社会效益 （6分）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目标群体覆盖率增长</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shd w:val="clear" w:color="auto" w:fill="auto"/>
          <w:tblCellMar>
            <w:top w:w="0" w:type="dxa"/>
            <w:left w:w="0" w:type="dxa"/>
            <w:bottom w:w="0" w:type="dxa"/>
            <w:right w:w="0" w:type="dxa"/>
          </w:tblCellMar>
        </w:tblPrEx>
        <w:trPr>
          <w:trHeight w:val="60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居民健康管理意识提高</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shd w:val="clear" w:color="auto" w:fill="auto"/>
          <w:tblCellMar>
            <w:top w:w="0" w:type="dxa"/>
            <w:left w:w="0" w:type="dxa"/>
            <w:bottom w:w="0" w:type="dxa"/>
            <w:right w:w="0" w:type="dxa"/>
          </w:tblCellMar>
        </w:tblPrEx>
        <w:trPr>
          <w:trHeight w:val="4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可持续影响（6分）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专业服务水平提升</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CellMar>
            <w:top w:w="0" w:type="dxa"/>
            <w:left w:w="0" w:type="dxa"/>
            <w:bottom w:w="0" w:type="dxa"/>
            <w:right w:w="0" w:type="dxa"/>
          </w:tblCellMar>
        </w:tblPrEx>
        <w:trPr>
          <w:trHeight w:val="4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政策宣传的持续性</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tblPrEx>
          <w:tblCellMar>
            <w:top w:w="0" w:type="dxa"/>
            <w:left w:w="0" w:type="dxa"/>
            <w:bottom w:w="0" w:type="dxa"/>
            <w:right w:w="0" w:type="dxa"/>
          </w:tblCellMar>
        </w:tblPrEx>
        <w:trPr>
          <w:trHeight w:val="48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社会公众满意度（10分）</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居民综合满意度</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4.94</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4.94</w:t>
            </w:r>
          </w:p>
        </w:tc>
      </w:tr>
      <w:tr>
        <w:tblPrEx>
          <w:tblCellMar>
            <w:top w:w="0" w:type="dxa"/>
            <w:left w:w="0" w:type="dxa"/>
            <w:bottom w:w="0" w:type="dxa"/>
            <w:right w:w="0" w:type="dxa"/>
          </w:tblCellMar>
        </w:tblPrEx>
        <w:trPr>
          <w:trHeight w:val="560"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仿宋" w:hAnsi="仿宋" w:eastAsia="仿宋" w:cs="仿宋"/>
                <w:i w:val="0"/>
                <w:color w:val="000000"/>
                <w:sz w:val="18"/>
                <w:szCs w:val="18"/>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基层医务人员满意度</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jc w:val="both"/>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2.64</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2.64</w:t>
            </w:r>
          </w:p>
        </w:tc>
      </w:tr>
      <w:tr>
        <w:tblPrEx>
          <w:tblCellMar>
            <w:top w:w="0" w:type="dxa"/>
            <w:left w:w="0" w:type="dxa"/>
            <w:bottom w:w="0" w:type="dxa"/>
            <w:right w:w="0" w:type="dxa"/>
          </w:tblCellMar>
        </w:tblPrEx>
        <w:trPr>
          <w:trHeight w:val="560" w:hRule="atLeast"/>
        </w:trPr>
        <w:tc>
          <w:tcPr>
            <w:tcW w:w="2950"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18"/>
                <w:szCs w:val="18"/>
                <w:u w:val="none"/>
                <w:lang w:val="en-US" w:eastAsia="zh-CN" w:bidi="ar"/>
              </w:rPr>
            </w:pPr>
            <w:r>
              <w:rPr>
                <w:rFonts w:hint="eastAsia" w:ascii="仿宋" w:hAnsi="仿宋" w:eastAsia="仿宋" w:cs="仿宋"/>
                <w:b/>
                <w:bCs/>
                <w:i w:val="0"/>
                <w:color w:val="000000"/>
                <w:kern w:val="0"/>
                <w:sz w:val="18"/>
                <w:szCs w:val="18"/>
                <w:u w:val="none"/>
                <w:lang w:val="en-US" w:eastAsia="zh-CN" w:bidi="ar"/>
              </w:rPr>
              <w:t>绩效得分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18"/>
                <w:szCs w:val="18"/>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18"/>
                <w:szCs w:val="18"/>
                <w:u w:val="none"/>
              </w:rPr>
            </w:pP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71.731</w:t>
            </w:r>
          </w:p>
        </w:tc>
      </w:tr>
    </w:tbl>
    <w:p>
      <w:pPr>
        <w:pStyle w:val="2"/>
        <w:jc w:val="both"/>
        <w:rPr>
          <w:rFonts w:hint="eastAsia" w:ascii="仿宋" w:hAnsi="仿宋" w:eastAsia="仿宋"/>
          <w:sz w:val="28"/>
          <w:szCs w:val="36"/>
          <w:lang w:val="en-US" w:eastAsia="zh-CN"/>
        </w:rPr>
        <w:sectPr>
          <w:footerReference r:id="rId13" w:type="first"/>
          <w:headerReference r:id="rId10" w:type="default"/>
          <w:footerReference r:id="rId11" w:type="default"/>
          <w:footerReference r:id="rId12" w:type="even"/>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outlineLvl w:val="0"/>
        <w:rPr>
          <w:rFonts w:hint="eastAsia" w:ascii="仿宋" w:hAnsi="仿宋" w:eastAsia="仿宋"/>
          <w:b/>
          <w:bCs/>
          <w:sz w:val="21"/>
          <w:szCs w:val="24"/>
          <w:lang w:val="en-US" w:eastAsia="zh-CN"/>
        </w:rPr>
      </w:pPr>
      <w:bookmarkStart w:id="322" w:name="_Toc23248"/>
      <w:r>
        <w:rPr>
          <w:rFonts w:hint="eastAsia" w:ascii="仿宋" w:hAnsi="仿宋" w:eastAsia="仿宋"/>
          <w:b/>
          <w:bCs/>
          <w:sz w:val="21"/>
          <w:szCs w:val="24"/>
          <w:lang w:val="en-US" w:eastAsia="zh-CN"/>
        </w:rPr>
        <w:t>附件:2-1：</w:t>
      </w:r>
      <w:bookmarkEnd w:id="322"/>
    </w:p>
    <w:p>
      <w:pPr>
        <w:spacing w:line="360" w:lineRule="auto"/>
        <w:ind w:firstLine="643" w:firstLineChars="200"/>
        <w:jc w:val="center"/>
        <w:rPr>
          <w:rFonts w:hint="eastAsia" w:ascii="仿宋" w:hAnsi="仿宋" w:eastAsia="仿宋" w:cs="仿宋"/>
          <w:b/>
          <w:bCs/>
          <w:sz w:val="32"/>
          <w:szCs w:val="28"/>
          <w:lang w:val="zh-TW" w:eastAsia="zh-CN"/>
        </w:rPr>
      </w:pPr>
      <w:r>
        <w:rPr>
          <w:rFonts w:hint="eastAsia" w:ascii="仿宋" w:hAnsi="仿宋" w:eastAsia="仿宋" w:cs="仿宋"/>
          <w:b/>
          <w:bCs/>
          <w:sz w:val="32"/>
          <w:szCs w:val="28"/>
          <w:lang w:val="zh-TW" w:eastAsia="zh-CN"/>
        </w:rPr>
        <w:t>临猗县</w:t>
      </w:r>
      <w:r>
        <w:rPr>
          <w:rFonts w:hint="eastAsia" w:ascii="仿宋" w:hAnsi="仿宋" w:eastAsia="仿宋" w:cs="仿宋"/>
          <w:b/>
          <w:bCs/>
          <w:sz w:val="32"/>
          <w:szCs w:val="28"/>
          <w:lang w:val="zh-TW" w:eastAsia="zh-TW"/>
        </w:rPr>
        <w:t>20</w:t>
      </w:r>
      <w:r>
        <w:rPr>
          <w:rFonts w:hint="eastAsia" w:ascii="仿宋" w:hAnsi="仿宋" w:eastAsia="仿宋" w:cs="仿宋"/>
          <w:b/>
          <w:bCs/>
          <w:sz w:val="32"/>
          <w:szCs w:val="28"/>
          <w:lang w:val="en-US" w:eastAsia="zh-CN"/>
        </w:rPr>
        <w:t>20</w:t>
      </w:r>
      <w:r>
        <w:rPr>
          <w:rFonts w:hint="eastAsia" w:ascii="仿宋" w:hAnsi="仿宋" w:eastAsia="仿宋" w:cs="仿宋"/>
          <w:b/>
          <w:bCs/>
          <w:sz w:val="32"/>
          <w:szCs w:val="28"/>
          <w:lang w:val="zh-TW" w:eastAsia="zh-TW"/>
        </w:rPr>
        <w:t>年国家基本公共卫生项目调查问卷</w:t>
      </w:r>
      <w:r>
        <w:rPr>
          <w:rFonts w:hint="eastAsia" w:ascii="仿宋" w:hAnsi="仿宋" w:eastAsia="仿宋" w:cs="仿宋"/>
          <w:b/>
          <w:bCs/>
          <w:sz w:val="32"/>
          <w:szCs w:val="28"/>
          <w:lang w:val="zh-TW" w:eastAsia="zh-CN"/>
        </w:rPr>
        <w:t>报告</w:t>
      </w:r>
    </w:p>
    <w:p>
      <w:pPr>
        <w:spacing w:line="360" w:lineRule="auto"/>
        <w:ind w:firstLine="643" w:firstLineChars="200"/>
        <w:jc w:val="center"/>
        <w:rPr>
          <w:rFonts w:hint="eastAsia" w:ascii="仿宋" w:hAnsi="仿宋" w:eastAsia="仿宋" w:cs="仿宋"/>
          <w:b/>
          <w:bCs/>
          <w:sz w:val="32"/>
          <w:szCs w:val="28"/>
          <w:lang w:val="zh-TW" w:eastAsia="zh-TW"/>
        </w:rPr>
      </w:pPr>
      <w:r>
        <w:rPr>
          <w:rFonts w:hint="eastAsia" w:ascii="仿宋" w:hAnsi="仿宋" w:eastAsia="仿宋" w:cs="仿宋"/>
          <w:b/>
          <w:bCs/>
          <w:sz w:val="32"/>
          <w:szCs w:val="28"/>
          <w:lang w:val="zh-TW" w:eastAsia="zh-TW"/>
        </w:rPr>
        <w:t>（</w:t>
      </w:r>
      <w:r>
        <w:rPr>
          <w:rFonts w:hint="eastAsia" w:ascii="仿宋" w:hAnsi="仿宋" w:eastAsia="仿宋" w:cs="仿宋"/>
          <w:b/>
          <w:bCs/>
          <w:sz w:val="32"/>
          <w:szCs w:val="28"/>
          <w:lang w:val="zh-TW" w:eastAsia="zh-CN"/>
        </w:rPr>
        <w:t>受益群众</w:t>
      </w:r>
      <w:r>
        <w:rPr>
          <w:rFonts w:hint="eastAsia" w:ascii="仿宋" w:hAnsi="仿宋" w:eastAsia="仿宋" w:cs="仿宋"/>
          <w:b/>
          <w:bCs/>
          <w:sz w:val="32"/>
          <w:szCs w:val="28"/>
          <w:lang w:val="zh-TW" w:eastAsia="zh-TW"/>
        </w:rPr>
        <w:t>）</w:t>
      </w:r>
    </w:p>
    <w:p>
      <w:pPr>
        <w:spacing w:line="560" w:lineRule="exact"/>
        <w:ind w:firstLine="560" w:firstLineChars="200"/>
        <w:rPr>
          <w:rFonts w:hint="eastAsia" w:ascii="仿宋" w:hAnsi="仿宋" w:eastAsia="仿宋" w:cs="仿宋"/>
          <w:bCs/>
          <w:sz w:val="28"/>
          <w:szCs w:val="28"/>
          <w:lang w:val="zh-TW" w:eastAsia="zh-TW" w:bidi="ar"/>
        </w:rPr>
      </w:pPr>
      <w:r>
        <w:rPr>
          <w:rFonts w:hint="eastAsia" w:ascii="仿宋" w:hAnsi="仿宋" w:eastAsia="仿宋" w:cs="仿宋"/>
          <w:bCs/>
          <w:sz w:val="28"/>
          <w:szCs w:val="28"/>
          <w:lang w:val="zh-TW" w:eastAsia="zh-TW" w:bidi="ar"/>
        </w:rPr>
        <w:t>一、调查背景</w:t>
      </w:r>
    </w:p>
    <w:p>
      <w:pPr>
        <w:spacing w:line="560" w:lineRule="exact"/>
        <w:ind w:firstLine="560" w:firstLineChars="200"/>
        <w:rPr>
          <w:rFonts w:hint="eastAsia" w:ascii="仿宋" w:hAnsi="仿宋" w:eastAsia="仿宋" w:cs="仿宋"/>
          <w:bCs/>
          <w:sz w:val="28"/>
          <w:szCs w:val="28"/>
          <w:lang w:val="zh-TW" w:eastAsia="zh-TW" w:bidi="ar"/>
        </w:rPr>
      </w:pPr>
      <w:r>
        <w:rPr>
          <w:rFonts w:hint="eastAsia" w:ascii="仿宋" w:hAnsi="仿宋" w:eastAsia="仿宋" w:cs="仿宋"/>
          <w:bCs/>
          <w:sz w:val="28"/>
          <w:szCs w:val="28"/>
          <w:lang w:val="zh-TW" w:eastAsia="zh-TW" w:bidi="ar"/>
        </w:rPr>
        <w:t>本次调查旨在了解</w:t>
      </w:r>
      <w:r>
        <w:rPr>
          <w:rFonts w:hint="eastAsia" w:ascii="仿宋" w:hAnsi="仿宋" w:eastAsia="仿宋" w:cs="仿宋"/>
          <w:bCs/>
          <w:sz w:val="28"/>
          <w:szCs w:val="28"/>
          <w:lang w:val="zh-TW" w:eastAsia="zh-CN" w:bidi="ar"/>
        </w:rPr>
        <w:t>临猗县</w:t>
      </w:r>
      <w:r>
        <w:rPr>
          <w:rFonts w:hint="eastAsia" w:ascii="仿宋" w:hAnsi="仿宋" w:eastAsia="仿宋" w:cs="仿宋"/>
          <w:bCs/>
          <w:sz w:val="28"/>
          <w:szCs w:val="28"/>
          <w:lang w:val="zh-TW" w:eastAsia="zh-TW" w:bidi="ar"/>
        </w:rPr>
        <w:t>20</w:t>
      </w:r>
      <w:r>
        <w:rPr>
          <w:rFonts w:hint="eastAsia" w:ascii="仿宋" w:hAnsi="仿宋" w:eastAsia="仿宋" w:cs="仿宋"/>
          <w:bCs/>
          <w:sz w:val="28"/>
          <w:szCs w:val="28"/>
          <w:lang w:val="en-US" w:eastAsia="zh-CN" w:bidi="ar"/>
        </w:rPr>
        <w:t>20</w:t>
      </w:r>
      <w:r>
        <w:rPr>
          <w:rFonts w:hint="eastAsia" w:ascii="仿宋" w:hAnsi="仿宋" w:eastAsia="仿宋" w:cs="仿宋"/>
          <w:bCs/>
          <w:sz w:val="28"/>
          <w:szCs w:val="28"/>
          <w:lang w:val="zh-TW" w:eastAsia="zh-TW" w:bidi="ar"/>
        </w:rPr>
        <w:t>年国家基本公共卫生项目</w:t>
      </w:r>
      <w:r>
        <w:rPr>
          <w:rFonts w:hint="eastAsia" w:ascii="仿宋" w:hAnsi="仿宋" w:eastAsia="仿宋" w:cs="仿宋"/>
          <w:bCs/>
          <w:sz w:val="28"/>
          <w:szCs w:val="28"/>
          <w:lang w:val="zh-TW" w:eastAsia="zh-CN" w:bidi="ar"/>
        </w:rPr>
        <w:t>的产出及</w:t>
      </w:r>
      <w:r>
        <w:rPr>
          <w:rFonts w:hint="eastAsia" w:ascii="仿宋" w:hAnsi="仿宋" w:eastAsia="仿宋" w:cs="仿宋"/>
          <w:bCs/>
          <w:sz w:val="28"/>
          <w:szCs w:val="28"/>
          <w:lang w:val="en-US" w:eastAsia="zh-CN" w:bidi="ar"/>
        </w:rPr>
        <w:t>效益</w:t>
      </w:r>
      <w:r>
        <w:rPr>
          <w:rFonts w:hint="eastAsia" w:ascii="仿宋" w:hAnsi="仿宋" w:eastAsia="仿宋" w:cs="仿宋"/>
          <w:bCs/>
          <w:sz w:val="28"/>
          <w:szCs w:val="28"/>
          <w:lang w:val="zh-TW" w:eastAsia="zh-TW" w:bidi="ar"/>
        </w:rPr>
        <w:t>，为本次绩效评价做出合理的分析。</w:t>
      </w:r>
    </w:p>
    <w:p>
      <w:pPr>
        <w:spacing w:line="560" w:lineRule="exact"/>
        <w:ind w:firstLine="560" w:firstLineChars="200"/>
        <w:rPr>
          <w:rFonts w:hint="eastAsia" w:ascii="仿宋" w:hAnsi="仿宋" w:eastAsia="仿宋" w:cs="仿宋"/>
          <w:bCs/>
          <w:sz w:val="28"/>
          <w:szCs w:val="28"/>
          <w:lang w:val="zh-TW" w:eastAsia="zh-TW" w:bidi="ar"/>
        </w:rPr>
      </w:pPr>
      <w:r>
        <w:rPr>
          <w:rFonts w:hint="eastAsia" w:ascii="仿宋" w:hAnsi="仿宋" w:eastAsia="仿宋" w:cs="仿宋"/>
          <w:bCs/>
          <w:sz w:val="28"/>
          <w:szCs w:val="28"/>
          <w:lang w:val="zh-TW" w:eastAsia="zh-CN" w:bidi="ar"/>
        </w:rPr>
        <w:t>二</w:t>
      </w:r>
      <w:r>
        <w:rPr>
          <w:rFonts w:hint="eastAsia" w:ascii="仿宋" w:hAnsi="仿宋" w:eastAsia="仿宋" w:cs="仿宋"/>
          <w:bCs/>
          <w:sz w:val="28"/>
          <w:szCs w:val="28"/>
          <w:lang w:val="zh-TW" w:eastAsia="zh-TW" w:bidi="ar"/>
        </w:rPr>
        <w:t>、调查对象与调查内容</w:t>
      </w:r>
    </w:p>
    <w:p>
      <w:pPr>
        <w:spacing w:line="560" w:lineRule="exact"/>
        <w:ind w:firstLine="560" w:firstLineChars="200"/>
        <w:rPr>
          <w:rFonts w:hint="eastAsia" w:ascii="仿宋" w:hAnsi="仿宋" w:eastAsia="仿宋" w:cs="仿宋"/>
          <w:bCs/>
          <w:sz w:val="28"/>
          <w:szCs w:val="28"/>
          <w:lang w:val="zh-TW" w:eastAsia="zh-TW" w:bidi="ar"/>
        </w:rPr>
      </w:pPr>
      <w:r>
        <w:rPr>
          <w:rFonts w:hint="eastAsia" w:ascii="仿宋" w:hAnsi="仿宋" w:eastAsia="仿宋" w:cs="仿宋"/>
          <w:bCs/>
          <w:sz w:val="28"/>
          <w:szCs w:val="28"/>
          <w:lang w:val="zh-TW" w:eastAsia="zh-TW" w:bidi="ar"/>
        </w:rPr>
        <w:t>（一）调查对象</w:t>
      </w:r>
    </w:p>
    <w:p>
      <w:pPr>
        <w:spacing w:line="560" w:lineRule="exact"/>
        <w:ind w:firstLine="560" w:firstLineChars="200"/>
        <w:rPr>
          <w:rFonts w:hint="eastAsia" w:ascii="仿宋" w:hAnsi="仿宋" w:eastAsia="仿宋" w:cs="仿宋"/>
          <w:bCs/>
          <w:sz w:val="28"/>
          <w:szCs w:val="28"/>
          <w:lang w:val="zh-TW" w:eastAsia="zh-TW" w:bidi="ar"/>
        </w:rPr>
      </w:pPr>
      <w:r>
        <w:rPr>
          <w:rFonts w:hint="eastAsia" w:ascii="仿宋" w:hAnsi="仿宋" w:eastAsia="仿宋" w:cs="仿宋"/>
          <w:bCs/>
          <w:sz w:val="28"/>
          <w:szCs w:val="28"/>
          <w:lang w:val="zh-TW" w:eastAsia="zh-CN" w:bidi="ar"/>
        </w:rPr>
        <w:t>临猗县辖区内的常住居民</w:t>
      </w:r>
      <w:r>
        <w:rPr>
          <w:rFonts w:hint="eastAsia" w:ascii="仿宋" w:hAnsi="仿宋" w:eastAsia="仿宋" w:cs="仿宋"/>
          <w:bCs/>
          <w:sz w:val="28"/>
          <w:szCs w:val="28"/>
          <w:lang w:val="zh-TW" w:eastAsia="zh-TW" w:bidi="ar"/>
        </w:rPr>
        <w:t>。</w:t>
      </w:r>
    </w:p>
    <w:p>
      <w:pPr>
        <w:spacing w:line="560" w:lineRule="exact"/>
        <w:ind w:firstLine="560" w:firstLineChars="200"/>
        <w:rPr>
          <w:rFonts w:hint="eastAsia" w:ascii="仿宋" w:hAnsi="仿宋" w:eastAsia="仿宋" w:cs="仿宋"/>
          <w:bCs/>
          <w:sz w:val="28"/>
          <w:szCs w:val="28"/>
          <w:lang w:val="zh-TW" w:eastAsia="zh-TW" w:bidi="ar"/>
        </w:rPr>
      </w:pPr>
      <w:r>
        <w:rPr>
          <w:rFonts w:hint="eastAsia" w:ascii="仿宋" w:hAnsi="仿宋" w:eastAsia="仿宋" w:cs="仿宋"/>
          <w:bCs/>
          <w:sz w:val="28"/>
          <w:szCs w:val="28"/>
          <w:lang w:val="zh-TW" w:eastAsia="zh-TW" w:bidi="ar"/>
        </w:rPr>
        <w:t>（二）调查内容</w:t>
      </w:r>
    </w:p>
    <w:p>
      <w:pPr>
        <w:spacing w:line="560" w:lineRule="exact"/>
        <w:ind w:firstLine="560" w:firstLineChars="200"/>
        <w:rPr>
          <w:rFonts w:hint="eastAsia" w:ascii="仿宋" w:hAnsi="仿宋" w:eastAsia="仿宋" w:cs="仿宋"/>
          <w:bCs/>
          <w:sz w:val="28"/>
          <w:szCs w:val="28"/>
          <w:lang w:val="en-US" w:eastAsia="zh-CN" w:bidi="ar"/>
        </w:rPr>
      </w:pPr>
      <w:r>
        <w:rPr>
          <w:rFonts w:hint="eastAsia" w:ascii="仿宋" w:hAnsi="仿宋" w:eastAsia="仿宋" w:cs="仿宋"/>
          <w:bCs/>
          <w:sz w:val="28"/>
          <w:szCs w:val="28"/>
          <w:lang w:val="zh-TW" w:eastAsia="zh-TW" w:bidi="ar"/>
        </w:rPr>
        <w:t>（</w:t>
      </w:r>
      <w:r>
        <w:rPr>
          <w:rFonts w:hint="eastAsia" w:ascii="仿宋" w:hAnsi="仿宋" w:eastAsia="仿宋" w:cs="仿宋"/>
          <w:bCs/>
          <w:sz w:val="28"/>
          <w:szCs w:val="28"/>
          <w:lang w:val="en-US" w:eastAsia="zh-CN" w:bidi="ar"/>
        </w:rPr>
        <w:t>1</w:t>
      </w:r>
      <w:r>
        <w:rPr>
          <w:rFonts w:hint="eastAsia" w:ascii="仿宋" w:hAnsi="仿宋" w:eastAsia="仿宋" w:cs="仿宋"/>
          <w:bCs/>
          <w:sz w:val="28"/>
          <w:szCs w:val="28"/>
          <w:lang w:val="zh-TW" w:eastAsia="zh-TW" w:bidi="ar"/>
        </w:rPr>
        <w:t>）</w:t>
      </w:r>
      <w:r>
        <w:rPr>
          <w:rFonts w:hint="eastAsia" w:ascii="仿宋" w:hAnsi="仿宋" w:eastAsia="仿宋" w:cs="仿宋"/>
          <w:bCs/>
          <w:sz w:val="28"/>
          <w:szCs w:val="28"/>
          <w:lang w:val="zh-TW" w:eastAsia="zh-CN" w:bidi="ar"/>
        </w:rPr>
        <w:t>基本</w:t>
      </w:r>
      <w:r>
        <w:rPr>
          <w:rFonts w:hint="eastAsia" w:ascii="仿宋" w:hAnsi="仿宋" w:eastAsia="仿宋" w:cs="仿宋"/>
          <w:bCs/>
          <w:sz w:val="28"/>
          <w:szCs w:val="28"/>
          <w:lang w:val="zh-TW" w:eastAsia="zh-TW" w:bidi="ar"/>
        </w:rPr>
        <w:t>信息</w:t>
      </w:r>
    </w:p>
    <w:p>
      <w:pPr>
        <w:spacing w:line="560" w:lineRule="exact"/>
        <w:ind w:firstLine="560" w:firstLineChars="200"/>
        <w:rPr>
          <w:rFonts w:hint="eastAsia" w:ascii="仿宋" w:hAnsi="仿宋" w:eastAsia="仿宋" w:cs="仿宋"/>
          <w:bCs/>
          <w:sz w:val="28"/>
          <w:szCs w:val="28"/>
          <w:lang w:val="zh-TW" w:eastAsia="zh-CN" w:bidi="ar"/>
        </w:rPr>
      </w:pPr>
      <w:r>
        <w:rPr>
          <w:rFonts w:hint="eastAsia" w:ascii="仿宋" w:hAnsi="仿宋" w:eastAsia="仿宋" w:cs="仿宋"/>
          <w:bCs/>
          <w:sz w:val="28"/>
          <w:szCs w:val="28"/>
          <w:lang w:val="zh-TW" w:eastAsia="zh-CN" w:bidi="ar"/>
        </w:rPr>
        <w:t>被调查者的居住地及年龄。</w:t>
      </w:r>
    </w:p>
    <w:p>
      <w:pPr>
        <w:spacing w:line="560" w:lineRule="exact"/>
        <w:ind w:firstLine="560" w:firstLineChars="200"/>
        <w:rPr>
          <w:rFonts w:hint="eastAsia" w:ascii="仿宋" w:hAnsi="仿宋" w:eastAsia="仿宋" w:cs="仿宋"/>
          <w:bCs/>
          <w:sz w:val="28"/>
          <w:szCs w:val="28"/>
          <w:lang w:val="en-US" w:eastAsia="zh-CN" w:bidi="ar"/>
        </w:rPr>
      </w:pPr>
      <w:r>
        <w:rPr>
          <w:rFonts w:hint="eastAsia" w:ascii="仿宋" w:hAnsi="仿宋" w:eastAsia="仿宋" w:cs="仿宋"/>
          <w:bCs/>
          <w:sz w:val="28"/>
          <w:szCs w:val="28"/>
          <w:lang w:val="zh-TW" w:eastAsia="zh-TW" w:bidi="ar"/>
        </w:rPr>
        <w:t>（</w:t>
      </w:r>
      <w:r>
        <w:rPr>
          <w:rFonts w:hint="eastAsia" w:ascii="仿宋" w:hAnsi="仿宋" w:eastAsia="仿宋" w:cs="仿宋"/>
          <w:bCs/>
          <w:sz w:val="28"/>
          <w:szCs w:val="28"/>
          <w:lang w:val="en-US" w:eastAsia="zh-CN" w:bidi="ar"/>
        </w:rPr>
        <w:t>2</w:t>
      </w:r>
      <w:r>
        <w:rPr>
          <w:rFonts w:hint="eastAsia" w:ascii="仿宋" w:hAnsi="仿宋" w:eastAsia="仿宋" w:cs="仿宋"/>
          <w:bCs/>
          <w:sz w:val="28"/>
          <w:szCs w:val="28"/>
          <w:lang w:val="zh-TW" w:eastAsia="zh-TW" w:bidi="ar"/>
        </w:rPr>
        <w:t>）</w:t>
      </w:r>
      <w:r>
        <w:rPr>
          <w:rFonts w:hint="eastAsia" w:ascii="仿宋" w:hAnsi="仿宋" w:eastAsia="仿宋" w:cs="仿宋"/>
          <w:bCs/>
          <w:sz w:val="28"/>
          <w:szCs w:val="28"/>
          <w:lang w:val="zh-TW" w:eastAsia="zh-CN" w:bidi="ar"/>
        </w:rPr>
        <w:t>调查内容</w:t>
      </w:r>
    </w:p>
    <w:p>
      <w:pPr>
        <w:spacing w:line="560" w:lineRule="exact"/>
        <w:ind w:firstLine="560" w:firstLineChars="200"/>
        <w:rPr>
          <w:rFonts w:hint="eastAsia" w:ascii="仿宋" w:hAnsi="仿宋" w:eastAsia="仿宋" w:cs="仿宋"/>
          <w:bCs/>
          <w:sz w:val="28"/>
          <w:szCs w:val="28"/>
          <w:lang w:val="zh-TW" w:eastAsia="zh-CN" w:bidi="ar"/>
        </w:rPr>
      </w:pPr>
      <w:r>
        <w:rPr>
          <w:rFonts w:hint="eastAsia" w:ascii="仿宋" w:hAnsi="仿宋" w:eastAsia="仿宋" w:cs="仿宋"/>
          <w:bCs/>
          <w:sz w:val="28"/>
          <w:szCs w:val="28"/>
          <w:lang w:val="zh-TW" w:eastAsia="zh-CN" w:bidi="ar"/>
        </w:rPr>
        <w:t>您知道政府免费为群众提供基本公共卫生服务吗；您从什么渠道得到政府免费为居民提供基本公共卫生服务的；基层医疗卫生机构提供的服务，对防病治病、改善健康的效果如何；您对基本公共卫生项目医护人员的态度是否满意。</w:t>
      </w:r>
    </w:p>
    <w:p>
      <w:pPr>
        <w:spacing w:line="560" w:lineRule="exact"/>
        <w:ind w:firstLine="560" w:firstLineChars="200"/>
        <w:rPr>
          <w:rFonts w:hint="eastAsia" w:ascii="仿宋" w:hAnsi="仿宋" w:eastAsia="仿宋" w:cs="仿宋"/>
          <w:bCs/>
          <w:sz w:val="28"/>
          <w:szCs w:val="28"/>
          <w:lang w:val="zh-TW" w:eastAsia="zh-TW" w:bidi="ar"/>
        </w:rPr>
      </w:pPr>
      <w:r>
        <w:rPr>
          <w:rFonts w:hint="eastAsia" w:ascii="仿宋" w:hAnsi="仿宋" w:eastAsia="仿宋" w:cs="仿宋"/>
          <w:bCs/>
          <w:sz w:val="28"/>
          <w:szCs w:val="28"/>
          <w:lang w:val="zh-TW" w:eastAsia="zh-TW" w:bidi="ar"/>
        </w:rPr>
        <w:t>（</w:t>
      </w:r>
      <w:r>
        <w:rPr>
          <w:rFonts w:hint="eastAsia" w:ascii="仿宋" w:hAnsi="仿宋" w:eastAsia="仿宋" w:cs="仿宋"/>
          <w:bCs/>
          <w:sz w:val="28"/>
          <w:szCs w:val="28"/>
          <w:lang w:val="en-US" w:eastAsia="zh-CN" w:bidi="ar"/>
        </w:rPr>
        <w:t>3</w:t>
      </w:r>
      <w:r>
        <w:rPr>
          <w:rFonts w:hint="eastAsia" w:ascii="仿宋" w:hAnsi="仿宋" w:eastAsia="仿宋" w:cs="仿宋"/>
          <w:bCs/>
          <w:sz w:val="28"/>
          <w:szCs w:val="28"/>
          <w:lang w:val="zh-TW" w:eastAsia="zh-TW" w:bidi="ar"/>
        </w:rPr>
        <w:t>）满意度问题调查</w:t>
      </w:r>
    </w:p>
    <w:p>
      <w:pPr>
        <w:spacing w:line="360" w:lineRule="auto"/>
        <w:ind w:firstLine="560" w:firstLineChars="200"/>
        <w:rPr>
          <w:rFonts w:hint="eastAsia" w:ascii="仿宋" w:hAnsi="仿宋" w:eastAsia="仿宋" w:cs="仿宋"/>
          <w:sz w:val="24"/>
          <w:szCs w:val="24"/>
        </w:rPr>
      </w:pPr>
      <w:r>
        <w:rPr>
          <w:rFonts w:hint="eastAsia" w:ascii="仿宋" w:hAnsi="仿宋" w:eastAsia="仿宋" w:cs="仿宋"/>
          <w:bCs/>
          <w:sz w:val="28"/>
          <w:szCs w:val="28"/>
          <w:lang w:val="zh-TW" w:eastAsia="zh-CN" w:bidi="ar"/>
        </w:rPr>
        <w:t>对</w:t>
      </w:r>
      <w:r>
        <w:rPr>
          <w:rFonts w:hint="eastAsia" w:ascii="仿宋" w:hAnsi="仿宋" w:eastAsia="仿宋" w:cs="仿宋"/>
          <w:bCs/>
          <w:sz w:val="28"/>
          <w:szCs w:val="28"/>
          <w:lang w:val="en-US" w:eastAsia="zh-CN" w:bidi="ar"/>
        </w:rPr>
        <w:t>2020年</w:t>
      </w:r>
      <w:r>
        <w:rPr>
          <w:rFonts w:hint="eastAsia" w:ascii="仿宋" w:hAnsi="仿宋" w:eastAsia="仿宋" w:cs="仿宋"/>
          <w:bCs/>
          <w:sz w:val="28"/>
          <w:szCs w:val="28"/>
          <w:lang w:val="zh-TW" w:eastAsia="zh-CN" w:bidi="ar"/>
        </w:rPr>
        <w:t>基本公共卫生服务</w:t>
      </w:r>
      <w:r>
        <w:rPr>
          <w:rFonts w:hint="eastAsia" w:ascii="仿宋" w:hAnsi="仿宋" w:eastAsia="仿宋" w:cs="仿宋"/>
          <w:bCs/>
          <w:sz w:val="28"/>
          <w:szCs w:val="28"/>
          <w:lang w:val="en-US" w:eastAsia="zh-CN" w:bidi="ar"/>
        </w:rPr>
        <w:t>工作</w:t>
      </w:r>
      <w:r>
        <w:rPr>
          <w:rFonts w:hint="eastAsia" w:ascii="仿宋" w:hAnsi="仿宋" w:eastAsia="仿宋" w:cs="仿宋"/>
          <w:bCs/>
          <w:sz w:val="28"/>
          <w:szCs w:val="28"/>
          <w:lang w:val="zh-TW" w:eastAsia="zh-CN" w:bidi="ar"/>
        </w:rPr>
        <w:t>是否满意</w:t>
      </w:r>
      <w:r>
        <w:rPr>
          <w:rFonts w:hint="eastAsia" w:ascii="仿宋" w:hAnsi="仿宋" w:eastAsia="仿宋" w:cs="仿宋"/>
          <w:sz w:val="24"/>
          <w:szCs w:val="24"/>
        </w:rPr>
        <w:t>。</w:t>
      </w:r>
    </w:p>
    <w:p>
      <w:pPr>
        <w:spacing w:line="560" w:lineRule="exact"/>
        <w:ind w:firstLine="562" w:firstLineChars="200"/>
        <w:rPr>
          <w:rFonts w:hint="eastAsia" w:ascii="仿宋" w:hAnsi="仿宋" w:eastAsia="仿宋" w:cs="仿宋"/>
          <w:b/>
          <w:bCs w:val="0"/>
          <w:sz w:val="28"/>
          <w:szCs w:val="28"/>
          <w:lang w:val="zh-TW" w:eastAsia="zh-CN" w:bidi="ar"/>
        </w:rPr>
      </w:pPr>
      <w:r>
        <w:rPr>
          <w:rFonts w:hint="eastAsia" w:ascii="仿宋" w:hAnsi="仿宋" w:eastAsia="仿宋" w:cs="仿宋"/>
          <w:b/>
          <w:bCs w:val="0"/>
          <w:sz w:val="28"/>
          <w:szCs w:val="28"/>
          <w:lang w:val="zh-TW" w:eastAsia="zh-CN" w:bidi="ar"/>
        </w:rPr>
        <w:t>三、调查方法与调查方式</w:t>
      </w:r>
    </w:p>
    <w:p>
      <w:pPr>
        <w:spacing w:line="560" w:lineRule="exact"/>
        <w:ind w:firstLine="560" w:firstLineChars="200"/>
        <w:rPr>
          <w:rFonts w:hint="eastAsia" w:ascii="仿宋" w:hAnsi="仿宋" w:eastAsia="仿宋" w:cs="仿宋"/>
          <w:bCs/>
          <w:sz w:val="28"/>
          <w:szCs w:val="28"/>
          <w:lang w:val="zh-TW" w:eastAsia="zh-CN" w:bidi="ar"/>
        </w:rPr>
      </w:pPr>
      <w:r>
        <w:rPr>
          <w:rFonts w:hint="eastAsia" w:ascii="仿宋" w:hAnsi="仿宋" w:eastAsia="仿宋" w:cs="仿宋"/>
          <w:bCs/>
          <w:sz w:val="28"/>
          <w:szCs w:val="28"/>
          <w:lang w:val="zh-TW" w:eastAsia="zh-CN" w:bidi="ar"/>
        </w:rPr>
        <w:t>（一）调查方法</w:t>
      </w:r>
    </w:p>
    <w:p>
      <w:pPr>
        <w:spacing w:line="560" w:lineRule="exact"/>
        <w:ind w:firstLine="560" w:firstLineChars="200"/>
        <w:rPr>
          <w:rFonts w:hint="eastAsia" w:ascii="仿宋" w:hAnsi="仿宋" w:eastAsia="仿宋" w:cs="仿宋"/>
          <w:bCs/>
          <w:sz w:val="28"/>
          <w:szCs w:val="28"/>
          <w:lang w:val="zh-TW" w:eastAsia="zh-CN" w:bidi="ar"/>
        </w:rPr>
      </w:pPr>
      <w:r>
        <w:rPr>
          <w:rFonts w:hint="eastAsia" w:ascii="仿宋" w:hAnsi="仿宋" w:eastAsia="仿宋" w:cs="仿宋"/>
          <w:bCs/>
          <w:sz w:val="28"/>
          <w:szCs w:val="28"/>
          <w:lang w:val="zh-TW" w:eastAsia="zh-CN" w:bidi="ar"/>
        </w:rPr>
        <w:t>针对上述问卷调查对象开展问卷调查，在抽样调查全面开展之前，先对部分样本问卷进行论证，依据论证结果对问卷和抽样方案进行修改和调整，以保证调研切合实际，顺利进行。</w:t>
      </w:r>
    </w:p>
    <w:p>
      <w:pPr>
        <w:spacing w:line="560" w:lineRule="exact"/>
        <w:ind w:firstLine="560" w:firstLineChars="200"/>
        <w:rPr>
          <w:rFonts w:hint="eastAsia" w:ascii="仿宋" w:hAnsi="仿宋" w:eastAsia="仿宋" w:cs="仿宋"/>
          <w:bCs/>
          <w:sz w:val="28"/>
          <w:szCs w:val="28"/>
          <w:lang w:val="zh-TW" w:eastAsia="zh-CN" w:bidi="ar"/>
        </w:rPr>
      </w:pPr>
      <w:r>
        <w:rPr>
          <w:rFonts w:hint="eastAsia" w:ascii="仿宋" w:hAnsi="仿宋" w:eastAsia="仿宋" w:cs="仿宋"/>
          <w:bCs/>
          <w:sz w:val="28"/>
          <w:szCs w:val="28"/>
          <w:lang w:val="zh-TW" w:eastAsia="zh-CN" w:bidi="ar"/>
        </w:rPr>
        <w:t>（二）调查方式</w:t>
      </w:r>
    </w:p>
    <w:p>
      <w:pPr>
        <w:spacing w:line="560" w:lineRule="exact"/>
        <w:ind w:firstLine="560" w:firstLineChars="200"/>
        <w:rPr>
          <w:rFonts w:hint="eastAsia" w:ascii="仿宋" w:hAnsi="仿宋" w:eastAsia="仿宋" w:cs="仿宋"/>
          <w:bCs/>
          <w:sz w:val="28"/>
          <w:szCs w:val="28"/>
          <w:lang w:val="zh-TW" w:eastAsia="zh-CN" w:bidi="ar"/>
        </w:rPr>
      </w:pPr>
      <w:r>
        <w:rPr>
          <w:rFonts w:hint="eastAsia" w:ascii="仿宋" w:hAnsi="仿宋" w:eastAsia="仿宋" w:cs="仿宋"/>
          <w:bCs/>
          <w:sz w:val="28"/>
          <w:szCs w:val="28"/>
          <w:lang w:val="zh-TW" w:eastAsia="zh-CN" w:bidi="ar"/>
        </w:rPr>
        <w:t>本次调查采用现场发放方式，</w:t>
      </w:r>
      <w:r>
        <w:rPr>
          <w:rFonts w:hint="eastAsia" w:ascii="仿宋" w:hAnsi="仿宋" w:eastAsia="仿宋" w:cs="仿宋"/>
          <w:bCs/>
          <w:sz w:val="28"/>
          <w:szCs w:val="28"/>
          <w:lang w:val="en-US" w:eastAsia="zh-CN" w:bidi="ar"/>
        </w:rPr>
        <w:t>在4个乡镇卫生院和12个村级卫生室分别进行问卷发放，每个地点发放不少于10份问卷进行调查</w:t>
      </w:r>
      <w:r>
        <w:rPr>
          <w:rFonts w:hint="eastAsia" w:ascii="仿宋" w:hAnsi="仿宋" w:eastAsia="仿宋" w:cs="仿宋"/>
          <w:bCs/>
          <w:sz w:val="28"/>
          <w:szCs w:val="28"/>
          <w:lang w:val="zh-TW" w:eastAsia="zh-CN" w:bidi="ar"/>
        </w:rPr>
        <w:t>。</w:t>
      </w:r>
    </w:p>
    <w:p>
      <w:pPr>
        <w:spacing w:line="560" w:lineRule="exact"/>
        <w:ind w:firstLine="560" w:firstLineChars="200"/>
        <w:rPr>
          <w:rFonts w:hint="eastAsia" w:ascii="仿宋" w:hAnsi="仿宋" w:eastAsia="仿宋" w:cs="仿宋"/>
          <w:bCs/>
          <w:sz w:val="28"/>
          <w:szCs w:val="28"/>
          <w:lang w:val="zh-TW" w:eastAsia="zh-CN" w:bidi="ar"/>
        </w:rPr>
      </w:pPr>
      <w:r>
        <w:rPr>
          <w:rFonts w:hint="eastAsia" w:ascii="仿宋" w:hAnsi="仿宋" w:eastAsia="仿宋" w:cs="仿宋"/>
          <w:bCs/>
          <w:sz w:val="28"/>
          <w:szCs w:val="28"/>
          <w:lang w:val="zh-TW" w:eastAsia="zh-CN" w:bidi="ar"/>
        </w:rPr>
        <w:t xml:space="preserve">（三）问卷的发放和回收 </w:t>
      </w:r>
    </w:p>
    <w:p>
      <w:pPr>
        <w:spacing w:line="560" w:lineRule="exact"/>
        <w:ind w:firstLine="560" w:firstLineChars="200"/>
        <w:rPr>
          <w:rFonts w:hint="default" w:ascii="仿宋" w:hAnsi="仿宋" w:eastAsia="仿宋" w:cs="仿宋"/>
          <w:bCs/>
          <w:sz w:val="28"/>
          <w:szCs w:val="28"/>
          <w:lang w:val="en-US" w:eastAsia="zh-CN" w:bidi="ar"/>
        </w:rPr>
      </w:pPr>
      <w:r>
        <w:rPr>
          <w:rFonts w:hint="eastAsia" w:ascii="仿宋" w:hAnsi="仿宋" w:eastAsia="仿宋" w:cs="仿宋"/>
          <w:bCs/>
          <w:sz w:val="28"/>
          <w:szCs w:val="28"/>
          <w:lang w:val="zh-TW" w:eastAsia="zh-CN" w:bidi="ar"/>
        </w:rPr>
        <w:t>评价组安排专业调查人员，组织安排问卷调查工作。本次问卷共计发放</w:t>
      </w:r>
      <w:r>
        <w:rPr>
          <w:rFonts w:hint="eastAsia" w:ascii="仿宋" w:hAnsi="仿宋" w:eastAsia="仿宋" w:cs="仿宋"/>
          <w:bCs/>
          <w:sz w:val="28"/>
          <w:szCs w:val="28"/>
          <w:lang w:val="en-US" w:eastAsia="zh-CN" w:bidi="ar"/>
        </w:rPr>
        <w:t>200份，收回91份，有效问卷91份。</w:t>
      </w:r>
    </w:p>
    <w:p>
      <w:pPr>
        <w:spacing w:line="560" w:lineRule="exact"/>
        <w:ind w:firstLine="560" w:firstLineChars="200"/>
        <w:rPr>
          <w:rFonts w:hint="eastAsia" w:ascii="仿宋" w:hAnsi="仿宋" w:eastAsia="仿宋" w:cs="仿宋"/>
          <w:bCs/>
          <w:sz w:val="28"/>
          <w:szCs w:val="28"/>
          <w:lang w:val="zh-TW" w:eastAsia="zh-CN" w:bidi="ar"/>
        </w:rPr>
      </w:pPr>
      <w:r>
        <w:rPr>
          <w:rFonts w:hint="eastAsia" w:ascii="仿宋" w:hAnsi="仿宋" w:eastAsia="仿宋" w:cs="仿宋"/>
          <w:bCs/>
          <w:sz w:val="28"/>
          <w:szCs w:val="28"/>
          <w:lang w:val="zh-TW" w:eastAsia="zh-CN" w:bidi="ar"/>
        </w:rPr>
        <w:t>（四）调研安排</w:t>
      </w:r>
    </w:p>
    <w:p>
      <w:pPr>
        <w:spacing w:line="560" w:lineRule="exact"/>
        <w:ind w:firstLine="560" w:firstLineChars="200"/>
        <w:rPr>
          <w:rFonts w:hint="eastAsia" w:ascii="仿宋" w:hAnsi="仿宋" w:eastAsia="仿宋" w:cs="仿宋"/>
          <w:bCs/>
          <w:sz w:val="28"/>
          <w:szCs w:val="28"/>
          <w:lang w:val="zh-TW" w:eastAsia="zh-CN" w:bidi="ar"/>
        </w:rPr>
      </w:pPr>
      <w:r>
        <w:rPr>
          <w:rFonts w:hint="eastAsia" w:ascii="仿宋" w:hAnsi="仿宋" w:eastAsia="仿宋" w:cs="仿宋"/>
          <w:bCs/>
          <w:sz w:val="28"/>
          <w:szCs w:val="28"/>
          <w:lang w:val="zh-TW" w:eastAsia="zh-CN" w:bidi="ar"/>
        </w:rPr>
        <w:t>根据项目进度安排，评价组于20</w:t>
      </w:r>
      <w:r>
        <w:rPr>
          <w:rFonts w:hint="eastAsia" w:ascii="仿宋" w:hAnsi="仿宋" w:eastAsia="仿宋" w:cs="仿宋"/>
          <w:bCs/>
          <w:sz w:val="28"/>
          <w:szCs w:val="28"/>
          <w:lang w:val="en-US" w:eastAsia="zh-CN" w:bidi="ar"/>
        </w:rPr>
        <w:t>21</w:t>
      </w:r>
      <w:r>
        <w:rPr>
          <w:rFonts w:hint="eastAsia" w:ascii="仿宋" w:hAnsi="仿宋" w:eastAsia="仿宋" w:cs="仿宋"/>
          <w:bCs/>
          <w:sz w:val="28"/>
          <w:szCs w:val="28"/>
          <w:lang w:val="zh-TW" w:eastAsia="zh-CN" w:bidi="ar"/>
        </w:rPr>
        <w:t>年</w:t>
      </w:r>
      <w:r>
        <w:rPr>
          <w:rFonts w:hint="eastAsia" w:ascii="仿宋" w:hAnsi="仿宋" w:eastAsia="仿宋" w:cs="仿宋"/>
          <w:bCs/>
          <w:sz w:val="28"/>
          <w:szCs w:val="28"/>
          <w:lang w:val="en-US" w:eastAsia="zh-CN" w:bidi="ar"/>
        </w:rPr>
        <w:t>9</w:t>
      </w:r>
      <w:r>
        <w:rPr>
          <w:rFonts w:hint="eastAsia" w:ascii="仿宋" w:hAnsi="仿宋" w:eastAsia="仿宋" w:cs="仿宋"/>
          <w:bCs/>
          <w:sz w:val="28"/>
          <w:szCs w:val="28"/>
          <w:lang w:val="zh-TW" w:eastAsia="zh-CN" w:bidi="ar"/>
        </w:rPr>
        <w:t>月</w:t>
      </w:r>
      <w:r>
        <w:rPr>
          <w:rFonts w:hint="eastAsia" w:ascii="仿宋" w:hAnsi="仿宋" w:eastAsia="仿宋" w:cs="仿宋"/>
          <w:bCs/>
          <w:sz w:val="28"/>
          <w:szCs w:val="28"/>
          <w:lang w:val="en-US" w:eastAsia="zh-CN" w:bidi="ar"/>
        </w:rPr>
        <w:t>12</w:t>
      </w:r>
      <w:r>
        <w:rPr>
          <w:rFonts w:hint="eastAsia" w:ascii="仿宋" w:hAnsi="仿宋" w:eastAsia="仿宋" w:cs="仿宋"/>
          <w:bCs/>
          <w:sz w:val="28"/>
          <w:szCs w:val="28"/>
          <w:lang w:val="zh-TW" w:eastAsia="zh-CN" w:bidi="ar"/>
        </w:rPr>
        <w:t>日-20</w:t>
      </w:r>
      <w:r>
        <w:rPr>
          <w:rFonts w:hint="eastAsia" w:ascii="仿宋" w:hAnsi="仿宋" w:eastAsia="仿宋" w:cs="仿宋"/>
          <w:bCs/>
          <w:sz w:val="28"/>
          <w:szCs w:val="28"/>
          <w:lang w:val="en-US" w:eastAsia="zh-CN" w:bidi="ar"/>
        </w:rPr>
        <w:t>20</w:t>
      </w:r>
      <w:r>
        <w:rPr>
          <w:rFonts w:hint="eastAsia" w:ascii="仿宋" w:hAnsi="仿宋" w:eastAsia="仿宋" w:cs="仿宋"/>
          <w:bCs/>
          <w:sz w:val="28"/>
          <w:szCs w:val="28"/>
          <w:lang w:val="zh-TW" w:eastAsia="zh-CN" w:bidi="ar"/>
        </w:rPr>
        <w:t>年</w:t>
      </w:r>
      <w:r>
        <w:rPr>
          <w:rFonts w:hint="eastAsia" w:ascii="仿宋" w:hAnsi="仿宋" w:eastAsia="仿宋" w:cs="仿宋"/>
          <w:bCs/>
          <w:sz w:val="28"/>
          <w:szCs w:val="28"/>
          <w:lang w:val="en-US" w:eastAsia="zh-CN" w:bidi="ar"/>
        </w:rPr>
        <w:t>9</w:t>
      </w:r>
      <w:r>
        <w:rPr>
          <w:rFonts w:hint="eastAsia" w:ascii="仿宋" w:hAnsi="仿宋" w:eastAsia="仿宋" w:cs="仿宋"/>
          <w:bCs/>
          <w:sz w:val="28"/>
          <w:szCs w:val="28"/>
          <w:lang w:val="zh-TW" w:eastAsia="zh-CN" w:bidi="ar"/>
        </w:rPr>
        <w:t>月</w:t>
      </w:r>
      <w:r>
        <w:rPr>
          <w:rFonts w:hint="eastAsia" w:ascii="仿宋" w:hAnsi="仿宋" w:eastAsia="仿宋" w:cs="仿宋"/>
          <w:bCs/>
          <w:sz w:val="28"/>
          <w:szCs w:val="28"/>
          <w:lang w:val="en-US" w:eastAsia="zh-CN" w:bidi="ar"/>
        </w:rPr>
        <w:t>20</w:t>
      </w:r>
      <w:r>
        <w:rPr>
          <w:rFonts w:hint="eastAsia" w:ascii="仿宋" w:hAnsi="仿宋" w:eastAsia="仿宋" w:cs="仿宋"/>
          <w:bCs/>
          <w:sz w:val="28"/>
          <w:szCs w:val="28"/>
          <w:lang w:val="zh-TW" w:eastAsia="zh-CN" w:bidi="ar"/>
        </w:rPr>
        <w:t>日对调查对象开展问卷调查并回收、分析。</w:t>
      </w:r>
    </w:p>
    <w:p>
      <w:pPr>
        <w:spacing w:line="560" w:lineRule="exact"/>
        <w:ind w:firstLine="560" w:firstLineChars="200"/>
        <w:rPr>
          <w:rFonts w:hint="eastAsia" w:ascii="仿宋" w:hAnsi="仿宋" w:eastAsia="仿宋" w:cs="仿宋"/>
          <w:bCs/>
          <w:sz w:val="28"/>
          <w:szCs w:val="28"/>
          <w:lang w:val="zh-TW" w:eastAsia="zh-CN" w:bidi="ar"/>
        </w:rPr>
      </w:pPr>
      <w:r>
        <w:rPr>
          <w:rFonts w:hint="eastAsia" w:ascii="仿宋" w:hAnsi="仿宋" w:eastAsia="仿宋" w:cs="仿宋"/>
          <w:bCs/>
          <w:sz w:val="28"/>
          <w:szCs w:val="28"/>
          <w:lang w:val="zh-TW" w:eastAsia="zh-CN" w:bidi="ar"/>
        </w:rPr>
        <w:t>四、问卷满意度分析汇总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bCs/>
          <w:sz w:val="28"/>
          <w:szCs w:val="28"/>
          <w:lang w:val="zh-TW" w:eastAsia="zh-CN" w:bidi="ar"/>
        </w:rPr>
        <w:t>在分析问卷时，我们设“非常满意”权重为1；“满意”权重为0.8;“一般满意”权重为0.6；“不太满意”权重为0.3；“非常不满意”权重为0，回收的有效问卷</w:t>
      </w:r>
      <w:r>
        <w:rPr>
          <w:rFonts w:hint="eastAsia" w:ascii="仿宋" w:hAnsi="仿宋" w:eastAsia="仿宋" w:cs="仿宋"/>
          <w:bCs/>
          <w:sz w:val="28"/>
          <w:szCs w:val="28"/>
          <w:lang w:val="en-US" w:eastAsia="zh-CN" w:bidi="ar"/>
        </w:rPr>
        <w:t>91</w:t>
      </w:r>
      <w:r>
        <w:rPr>
          <w:rFonts w:hint="eastAsia" w:ascii="仿宋" w:hAnsi="仿宋" w:eastAsia="仿宋" w:cs="仿宋"/>
          <w:bCs/>
          <w:sz w:val="28"/>
          <w:szCs w:val="28"/>
          <w:lang w:val="zh-TW" w:eastAsia="zh-CN" w:bidi="ar"/>
        </w:rPr>
        <w:t>份，“非常满意”</w:t>
      </w:r>
      <w:r>
        <w:rPr>
          <w:rFonts w:hint="eastAsia" w:ascii="仿宋" w:hAnsi="仿宋" w:eastAsia="仿宋" w:cs="仿宋"/>
          <w:bCs/>
          <w:sz w:val="28"/>
          <w:szCs w:val="28"/>
          <w:lang w:val="en-US" w:eastAsia="zh-CN" w:bidi="ar"/>
        </w:rPr>
        <w:t>70</w:t>
      </w:r>
      <w:r>
        <w:rPr>
          <w:rFonts w:hint="eastAsia" w:ascii="仿宋" w:hAnsi="仿宋" w:eastAsia="仿宋" w:cs="仿宋"/>
          <w:bCs/>
          <w:sz w:val="28"/>
          <w:szCs w:val="28"/>
          <w:lang w:val="zh-TW" w:eastAsia="zh-CN" w:bidi="ar"/>
        </w:rPr>
        <w:t>份；“满意”</w:t>
      </w:r>
      <w:r>
        <w:rPr>
          <w:rFonts w:hint="eastAsia" w:ascii="仿宋" w:hAnsi="仿宋" w:eastAsia="仿宋" w:cs="仿宋"/>
          <w:bCs/>
          <w:sz w:val="28"/>
          <w:szCs w:val="28"/>
          <w:lang w:val="en-US" w:eastAsia="zh-CN" w:bidi="ar"/>
        </w:rPr>
        <w:t>10</w:t>
      </w:r>
      <w:r>
        <w:rPr>
          <w:rFonts w:hint="eastAsia" w:ascii="仿宋" w:hAnsi="仿宋" w:eastAsia="仿宋" w:cs="仿宋"/>
          <w:bCs/>
          <w:sz w:val="28"/>
          <w:szCs w:val="28"/>
          <w:lang w:val="zh-TW" w:eastAsia="zh-CN" w:bidi="ar"/>
        </w:rPr>
        <w:t>份；“一般满意”</w:t>
      </w:r>
      <w:r>
        <w:rPr>
          <w:rFonts w:hint="eastAsia" w:ascii="仿宋" w:hAnsi="仿宋" w:eastAsia="仿宋" w:cs="仿宋"/>
          <w:bCs/>
          <w:sz w:val="28"/>
          <w:szCs w:val="28"/>
          <w:lang w:val="en-US" w:eastAsia="zh-CN" w:bidi="ar"/>
        </w:rPr>
        <w:t>4</w:t>
      </w:r>
      <w:r>
        <w:rPr>
          <w:rFonts w:hint="eastAsia" w:ascii="仿宋" w:hAnsi="仿宋" w:eastAsia="仿宋" w:cs="仿宋"/>
          <w:bCs/>
          <w:sz w:val="28"/>
          <w:szCs w:val="28"/>
          <w:lang w:val="zh-TW" w:eastAsia="zh-CN" w:bidi="ar"/>
        </w:rPr>
        <w:t>份；“不太满意”</w:t>
      </w:r>
      <w:r>
        <w:rPr>
          <w:rFonts w:hint="eastAsia" w:ascii="仿宋" w:hAnsi="仿宋" w:eastAsia="仿宋" w:cs="仿宋"/>
          <w:bCs/>
          <w:sz w:val="28"/>
          <w:szCs w:val="28"/>
          <w:lang w:val="en-US" w:eastAsia="zh-CN" w:bidi="ar"/>
        </w:rPr>
        <w:t>5</w:t>
      </w:r>
      <w:r>
        <w:rPr>
          <w:rFonts w:hint="eastAsia" w:ascii="仿宋" w:hAnsi="仿宋" w:eastAsia="仿宋" w:cs="仿宋"/>
          <w:bCs/>
          <w:sz w:val="28"/>
          <w:szCs w:val="28"/>
          <w:lang w:val="zh-TW" w:eastAsia="zh-CN" w:bidi="ar"/>
        </w:rPr>
        <w:t>份</w:t>
      </w:r>
      <w:r>
        <w:rPr>
          <w:rFonts w:hint="eastAsia" w:ascii="仿宋" w:hAnsi="仿宋" w:eastAsia="仿宋" w:cs="仿宋"/>
          <w:bCs/>
          <w:sz w:val="28"/>
          <w:szCs w:val="28"/>
          <w:lang w:val="en-US" w:eastAsia="zh-CN" w:bidi="ar"/>
        </w:rPr>
        <w:t>；“非常不满意”2份</w:t>
      </w:r>
      <w:r>
        <w:rPr>
          <w:rFonts w:hint="eastAsia" w:ascii="仿宋" w:hAnsi="仿宋" w:eastAsia="仿宋" w:cs="仿宋"/>
          <w:bCs/>
          <w:sz w:val="28"/>
          <w:szCs w:val="28"/>
          <w:lang w:val="zh-TW" w:eastAsia="zh-CN" w:bidi="ar"/>
        </w:rPr>
        <w:t>，对调查对象满意度进行汇总分析，平均满意度为：</w:t>
      </w:r>
      <w:r>
        <w:rPr>
          <w:rFonts w:hint="eastAsia" w:ascii="仿宋" w:hAnsi="仿宋" w:eastAsia="仿宋" w:cs="仿宋"/>
          <w:sz w:val="28"/>
          <w:szCs w:val="28"/>
          <w:lang w:val="en-US" w:eastAsia="zh-CN"/>
        </w:rPr>
        <w:t>76.92%</w:t>
      </w:r>
      <w:r>
        <w:rPr>
          <w:rFonts w:hint="eastAsia" w:ascii="仿宋" w:hAnsi="仿宋" w:eastAsia="仿宋" w:cs="仿宋"/>
          <w:sz w:val="28"/>
          <w:szCs w:val="28"/>
        </w:rPr>
        <w:t>*</w:t>
      </w:r>
      <w:r>
        <w:rPr>
          <w:rFonts w:hint="eastAsia" w:ascii="仿宋" w:hAnsi="仿宋" w:eastAsia="仿宋" w:cs="仿宋"/>
          <w:sz w:val="28"/>
          <w:szCs w:val="28"/>
          <w:lang w:val="en-US" w:eastAsia="zh-CN"/>
        </w:rPr>
        <w:t>1</w:t>
      </w:r>
      <w:r>
        <w:rPr>
          <w:rFonts w:hint="eastAsia" w:ascii="仿宋" w:hAnsi="仿宋" w:eastAsia="仿宋" w:cs="仿宋"/>
          <w:sz w:val="28"/>
          <w:szCs w:val="28"/>
        </w:rPr>
        <w:t>+</w:t>
      </w:r>
      <w:r>
        <w:rPr>
          <w:rFonts w:hint="eastAsia" w:ascii="仿宋" w:hAnsi="仿宋" w:eastAsia="仿宋" w:cs="仿宋"/>
          <w:sz w:val="28"/>
          <w:szCs w:val="28"/>
          <w:lang w:val="en-US" w:eastAsia="zh-CN"/>
        </w:rPr>
        <w:t>10.99</w:t>
      </w:r>
      <w:r>
        <w:rPr>
          <w:rFonts w:hint="eastAsia" w:ascii="仿宋" w:hAnsi="仿宋" w:eastAsia="仿宋" w:cs="仿宋"/>
          <w:sz w:val="28"/>
          <w:szCs w:val="28"/>
        </w:rPr>
        <w:t>%*0.8+</w:t>
      </w:r>
      <w:r>
        <w:rPr>
          <w:rFonts w:hint="eastAsia" w:ascii="仿宋" w:hAnsi="仿宋" w:eastAsia="仿宋" w:cs="仿宋"/>
          <w:sz w:val="28"/>
          <w:szCs w:val="28"/>
          <w:lang w:val="en-US" w:eastAsia="zh-CN"/>
        </w:rPr>
        <w:t>2.4</w:t>
      </w:r>
      <w:r>
        <w:rPr>
          <w:rFonts w:hint="eastAsia" w:ascii="仿宋" w:hAnsi="仿宋" w:eastAsia="仿宋" w:cs="仿宋"/>
          <w:sz w:val="28"/>
          <w:szCs w:val="28"/>
        </w:rPr>
        <w:t>%*0.6+</w:t>
      </w:r>
      <w:r>
        <w:rPr>
          <w:rFonts w:hint="eastAsia" w:ascii="仿宋" w:hAnsi="仿宋" w:eastAsia="仿宋" w:cs="仿宋"/>
          <w:sz w:val="28"/>
          <w:szCs w:val="28"/>
          <w:lang w:val="en-US" w:eastAsia="zh-CN"/>
        </w:rPr>
        <w:t>5.49</w:t>
      </w:r>
      <w:r>
        <w:rPr>
          <w:rFonts w:hint="eastAsia" w:ascii="仿宋" w:hAnsi="仿宋" w:eastAsia="仿宋" w:cs="仿宋"/>
          <w:sz w:val="28"/>
          <w:szCs w:val="28"/>
        </w:rPr>
        <w:t>%*0.3</w:t>
      </w:r>
      <w:r>
        <w:rPr>
          <w:rFonts w:hint="eastAsia" w:ascii="仿宋" w:hAnsi="仿宋" w:eastAsia="仿宋" w:cs="仿宋"/>
          <w:sz w:val="28"/>
          <w:szCs w:val="28"/>
          <w:lang w:val="en-US" w:eastAsia="zh-CN"/>
        </w:rPr>
        <w:t>+2.2*0</w:t>
      </w:r>
      <w:r>
        <w:rPr>
          <w:rFonts w:hint="eastAsia" w:ascii="仿宋" w:hAnsi="仿宋" w:eastAsia="仿宋" w:cs="仿宋"/>
          <w:sz w:val="28"/>
          <w:szCs w:val="28"/>
        </w:rPr>
        <w:t>=</w:t>
      </w:r>
      <w:r>
        <w:rPr>
          <w:rFonts w:hint="eastAsia" w:ascii="仿宋" w:hAnsi="仿宋" w:eastAsia="仿宋" w:cs="仿宋"/>
          <w:sz w:val="28"/>
          <w:szCs w:val="28"/>
          <w:lang w:val="en-US" w:eastAsia="zh-CN"/>
        </w:rPr>
        <w:t>88</w:t>
      </w:r>
      <w:r>
        <w:rPr>
          <w:rFonts w:hint="eastAsia" w:ascii="仿宋" w:hAnsi="仿宋" w:eastAsia="仿宋" w:cs="仿宋"/>
          <w:sz w:val="28"/>
          <w:szCs w:val="28"/>
        </w:rPr>
        <w:t>.</w:t>
      </w:r>
      <w:r>
        <w:rPr>
          <w:rFonts w:hint="eastAsia" w:ascii="仿宋" w:hAnsi="仿宋" w:eastAsia="仿宋" w:cs="仿宋"/>
          <w:sz w:val="28"/>
          <w:szCs w:val="28"/>
          <w:lang w:val="en-US" w:eastAsia="zh-CN"/>
        </w:rPr>
        <w:t>80</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仿宋" w:hAnsi="仿宋" w:eastAsia="仿宋" w:cs="仿宋"/>
          <w:sz w:val="28"/>
          <w:szCs w:val="28"/>
        </w:rPr>
      </w:pPr>
    </w:p>
    <w:p>
      <w:pPr>
        <w:spacing w:line="560" w:lineRule="exact"/>
        <w:ind w:firstLine="560" w:firstLineChars="200"/>
        <w:rPr>
          <w:rFonts w:hint="eastAsia" w:ascii="仿宋" w:hAnsi="仿宋" w:eastAsia="仿宋" w:cs="仿宋"/>
          <w:bCs/>
          <w:sz w:val="28"/>
          <w:szCs w:val="28"/>
          <w:lang w:val="en-US" w:eastAsia="zh-CN" w:bidi="ar"/>
        </w:rPr>
      </w:pPr>
    </w:p>
    <w:p>
      <w:pPr>
        <w:spacing w:line="560" w:lineRule="exact"/>
        <w:ind w:firstLine="560" w:firstLineChars="200"/>
        <w:rPr>
          <w:rFonts w:hint="default" w:ascii="仿宋" w:hAnsi="仿宋" w:eastAsia="仿宋" w:cs="仿宋"/>
          <w:bCs/>
          <w:sz w:val="28"/>
          <w:szCs w:val="28"/>
          <w:lang w:val="en-US" w:eastAsia="zh-CN" w:bidi="ar"/>
        </w:rPr>
      </w:pPr>
    </w:p>
    <w:p>
      <w:pPr>
        <w:pStyle w:val="2"/>
        <w:rPr>
          <w:rFonts w:hint="default" w:ascii="仿宋" w:hAnsi="仿宋" w:eastAsia="仿宋"/>
          <w:sz w:val="21"/>
          <w:szCs w:val="24"/>
          <w:lang w:val="en-US" w:eastAsia="zh-CN"/>
        </w:rPr>
      </w:pPr>
    </w:p>
    <w:p>
      <w:pPr>
        <w:pStyle w:val="2"/>
        <w:rPr>
          <w:rFonts w:hint="default" w:ascii="仿宋" w:hAnsi="仿宋" w:eastAsia="仿宋"/>
          <w:sz w:val="21"/>
          <w:szCs w:val="24"/>
          <w:lang w:val="en-US" w:eastAsia="zh-CN"/>
        </w:rPr>
      </w:pPr>
    </w:p>
    <w:p>
      <w:pPr>
        <w:spacing w:line="360" w:lineRule="auto"/>
        <w:jc w:val="left"/>
        <w:outlineLvl w:val="0"/>
        <w:rPr>
          <w:rFonts w:hint="eastAsia" w:ascii="仿宋" w:hAnsi="仿宋" w:eastAsia="仿宋" w:cs="仿宋"/>
          <w:b/>
          <w:bCs/>
          <w:sz w:val="21"/>
          <w:szCs w:val="21"/>
          <w:lang w:val="zh-TW" w:eastAsia="zh-CN"/>
        </w:rPr>
      </w:pPr>
      <w:bookmarkStart w:id="323" w:name="_Toc20679"/>
    </w:p>
    <w:p>
      <w:pPr>
        <w:spacing w:line="360" w:lineRule="auto"/>
        <w:jc w:val="left"/>
        <w:outlineLvl w:val="0"/>
        <w:rPr>
          <w:rFonts w:hint="eastAsia" w:ascii="仿宋" w:hAnsi="仿宋" w:eastAsia="仿宋" w:cs="仿宋"/>
          <w:b/>
          <w:bCs/>
          <w:sz w:val="21"/>
          <w:szCs w:val="21"/>
          <w:lang w:val="zh-TW" w:eastAsia="zh-CN"/>
        </w:rPr>
      </w:pPr>
    </w:p>
    <w:p>
      <w:pPr>
        <w:spacing w:line="360" w:lineRule="auto"/>
        <w:jc w:val="left"/>
        <w:outlineLvl w:val="0"/>
        <w:rPr>
          <w:rFonts w:hint="eastAsia" w:ascii="仿宋" w:hAnsi="仿宋" w:eastAsia="仿宋" w:cs="仿宋"/>
          <w:b/>
          <w:bCs/>
          <w:sz w:val="21"/>
          <w:szCs w:val="21"/>
          <w:lang w:val="zh-TW" w:eastAsia="zh-CN"/>
        </w:rPr>
      </w:pPr>
    </w:p>
    <w:p>
      <w:pPr>
        <w:spacing w:line="360" w:lineRule="auto"/>
        <w:jc w:val="left"/>
        <w:outlineLvl w:val="0"/>
        <w:rPr>
          <w:rFonts w:hint="eastAsia" w:ascii="仿宋" w:hAnsi="仿宋" w:eastAsia="仿宋" w:cs="仿宋"/>
          <w:b/>
          <w:bCs/>
          <w:sz w:val="21"/>
          <w:szCs w:val="21"/>
          <w:lang w:val="zh-TW" w:eastAsia="zh-CN"/>
        </w:rPr>
      </w:pPr>
    </w:p>
    <w:p>
      <w:pPr>
        <w:spacing w:line="360" w:lineRule="auto"/>
        <w:jc w:val="left"/>
        <w:outlineLvl w:val="0"/>
        <w:rPr>
          <w:rFonts w:hint="eastAsia" w:ascii="仿宋" w:hAnsi="仿宋" w:eastAsia="仿宋" w:cs="仿宋"/>
          <w:b/>
          <w:bCs/>
          <w:sz w:val="21"/>
          <w:szCs w:val="21"/>
          <w:lang w:val="zh-TW" w:eastAsia="zh-CN"/>
        </w:rPr>
      </w:pPr>
    </w:p>
    <w:p>
      <w:pPr>
        <w:spacing w:line="360" w:lineRule="auto"/>
        <w:jc w:val="left"/>
        <w:outlineLvl w:val="0"/>
        <w:rPr>
          <w:rFonts w:hint="default" w:ascii="仿宋" w:hAnsi="仿宋" w:eastAsia="仿宋" w:cs="仿宋"/>
          <w:b/>
          <w:bCs/>
          <w:sz w:val="21"/>
          <w:szCs w:val="21"/>
          <w:lang w:val="en-US" w:eastAsia="zh-CN"/>
        </w:rPr>
      </w:pPr>
      <w:r>
        <w:rPr>
          <w:rFonts w:hint="eastAsia" w:ascii="仿宋" w:hAnsi="仿宋" w:eastAsia="仿宋" w:cs="仿宋"/>
          <w:b/>
          <w:bCs/>
          <w:sz w:val="21"/>
          <w:szCs w:val="21"/>
          <w:lang w:val="zh-TW" w:eastAsia="zh-CN"/>
        </w:rPr>
        <w:t>附件</w:t>
      </w:r>
      <w:r>
        <w:rPr>
          <w:rFonts w:hint="eastAsia" w:ascii="仿宋" w:hAnsi="仿宋" w:eastAsia="仿宋" w:cs="仿宋"/>
          <w:b/>
          <w:bCs/>
          <w:sz w:val="21"/>
          <w:szCs w:val="21"/>
          <w:lang w:val="en-US" w:eastAsia="zh-CN"/>
        </w:rPr>
        <w:t>2-2：</w:t>
      </w:r>
      <w:bookmarkEnd w:id="323"/>
    </w:p>
    <w:p>
      <w:pPr>
        <w:spacing w:line="360" w:lineRule="auto"/>
        <w:ind w:firstLine="643" w:firstLineChars="200"/>
        <w:jc w:val="center"/>
        <w:outlineLvl w:val="0"/>
        <w:rPr>
          <w:rFonts w:hint="eastAsia" w:ascii="仿宋" w:hAnsi="仿宋" w:eastAsia="仿宋" w:cs="仿宋"/>
          <w:b/>
          <w:bCs/>
          <w:sz w:val="32"/>
          <w:szCs w:val="28"/>
          <w:lang w:val="zh-TW" w:eastAsia="zh-CN"/>
        </w:rPr>
      </w:pPr>
      <w:bookmarkStart w:id="324" w:name="_Toc12279"/>
      <w:r>
        <w:rPr>
          <w:rFonts w:hint="eastAsia" w:ascii="仿宋" w:hAnsi="仿宋" w:eastAsia="仿宋" w:cs="仿宋"/>
          <w:b/>
          <w:bCs/>
          <w:sz w:val="32"/>
          <w:szCs w:val="28"/>
          <w:lang w:val="zh-TW" w:eastAsia="zh-CN"/>
        </w:rPr>
        <w:t>临猗县</w:t>
      </w:r>
      <w:r>
        <w:rPr>
          <w:rFonts w:hint="eastAsia" w:ascii="仿宋" w:hAnsi="仿宋" w:eastAsia="仿宋" w:cs="仿宋"/>
          <w:b/>
          <w:bCs/>
          <w:sz w:val="32"/>
          <w:szCs w:val="28"/>
          <w:lang w:val="zh-TW" w:eastAsia="zh-TW"/>
        </w:rPr>
        <w:t>201</w:t>
      </w:r>
      <w:r>
        <w:rPr>
          <w:rFonts w:hint="eastAsia" w:ascii="仿宋" w:hAnsi="仿宋" w:eastAsia="仿宋" w:cs="仿宋"/>
          <w:b/>
          <w:bCs/>
          <w:sz w:val="32"/>
          <w:szCs w:val="28"/>
          <w:lang w:val="en-US" w:eastAsia="zh-CN"/>
        </w:rPr>
        <w:t>9</w:t>
      </w:r>
      <w:r>
        <w:rPr>
          <w:rFonts w:hint="eastAsia" w:ascii="仿宋" w:hAnsi="仿宋" w:eastAsia="仿宋" w:cs="仿宋"/>
          <w:b/>
          <w:bCs/>
          <w:sz w:val="32"/>
          <w:szCs w:val="28"/>
          <w:lang w:val="zh-TW" w:eastAsia="zh-TW"/>
        </w:rPr>
        <w:t>年国家基本公共卫生项目调查问卷</w:t>
      </w:r>
      <w:r>
        <w:rPr>
          <w:rFonts w:hint="eastAsia" w:ascii="仿宋" w:hAnsi="仿宋" w:eastAsia="仿宋" w:cs="仿宋"/>
          <w:b/>
          <w:bCs/>
          <w:sz w:val="32"/>
          <w:szCs w:val="28"/>
          <w:lang w:val="zh-TW" w:eastAsia="zh-CN"/>
        </w:rPr>
        <w:t>报告</w:t>
      </w:r>
      <w:bookmarkEnd w:id="324"/>
    </w:p>
    <w:p>
      <w:pPr>
        <w:spacing w:line="360" w:lineRule="auto"/>
        <w:ind w:firstLine="643" w:firstLineChars="200"/>
        <w:jc w:val="center"/>
        <w:outlineLvl w:val="0"/>
        <w:rPr>
          <w:rFonts w:hint="eastAsia" w:ascii="仿宋" w:hAnsi="仿宋" w:eastAsia="仿宋" w:cs="仿宋"/>
          <w:b/>
          <w:bCs/>
          <w:sz w:val="32"/>
          <w:szCs w:val="28"/>
          <w:lang w:val="zh-TW" w:eastAsia="zh-TW"/>
        </w:rPr>
      </w:pPr>
      <w:bookmarkStart w:id="325" w:name="_Toc9789"/>
      <w:r>
        <w:rPr>
          <w:rFonts w:hint="eastAsia" w:ascii="仿宋" w:hAnsi="仿宋" w:eastAsia="仿宋" w:cs="仿宋"/>
          <w:b/>
          <w:bCs/>
          <w:sz w:val="32"/>
          <w:szCs w:val="28"/>
          <w:lang w:val="zh-TW" w:eastAsia="zh-TW"/>
        </w:rPr>
        <w:t>（</w:t>
      </w:r>
      <w:r>
        <w:rPr>
          <w:rFonts w:hint="eastAsia" w:ascii="仿宋" w:hAnsi="仿宋" w:eastAsia="仿宋" w:cs="仿宋"/>
          <w:b/>
          <w:bCs/>
          <w:sz w:val="32"/>
          <w:szCs w:val="28"/>
          <w:lang w:val="zh-TW" w:eastAsia="zh-CN"/>
        </w:rPr>
        <w:t>公卫工作人员</w:t>
      </w:r>
      <w:r>
        <w:rPr>
          <w:rFonts w:hint="eastAsia" w:ascii="仿宋" w:hAnsi="仿宋" w:eastAsia="仿宋" w:cs="仿宋"/>
          <w:b/>
          <w:bCs/>
          <w:sz w:val="32"/>
          <w:szCs w:val="28"/>
          <w:lang w:val="zh-TW" w:eastAsia="zh-TW"/>
        </w:rPr>
        <w:t>）</w:t>
      </w:r>
      <w:bookmarkEnd w:id="325"/>
    </w:p>
    <w:p>
      <w:pPr>
        <w:spacing w:line="560" w:lineRule="exact"/>
        <w:ind w:firstLine="562" w:firstLineChars="200"/>
        <w:outlineLvl w:val="0"/>
        <w:rPr>
          <w:rFonts w:hint="eastAsia" w:ascii="仿宋" w:hAnsi="仿宋" w:eastAsia="仿宋" w:cs="仿宋"/>
          <w:b/>
          <w:bCs w:val="0"/>
          <w:sz w:val="28"/>
          <w:szCs w:val="28"/>
          <w:lang w:val="zh-TW" w:eastAsia="zh-TW" w:bidi="ar"/>
        </w:rPr>
      </w:pPr>
      <w:bookmarkStart w:id="326" w:name="_Toc31257"/>
      <w:r>
        <w:rPr>
          <w:rFonts w:hint="eastAsia" w:ascii="仿宋" w:hAnsi="仿宋" w:eastAsia="仿宋" w:cs="仿宋"/>
          <w:b/>
          <w:bCs w:val="0"/>
          <w:sz w:val="28"/>
          <w:szCs w:val="28"/>
          <w:lang w:val="zh-TW" w:eastAsia="zh-TW" w:bidi="ar"/>
        </w:rPr>
        <w:t>一、调查背景</w:t>
      </w:r>
      <w:bookmarkEnd w:id="326"/>
    </w:p>
    <w:p>
      <w:pPr>
        <w:spacing w:line="560" w:lineRule="exact"/>
        <w:ind w:firstLine="560" w:firstLineChars="200"/>
        <w:rPr>
          <w:rFonts w:hint="eastAsia" w:ascii="仿宋" w:hAnsi="仿宋" w:eastAsia="仿宋" w:cs="仿宋"/>
          <w:bCs/>
          <w:sz w:val="28"/>
          <w:szCs w:val="28"/>
          <w:lang w:val="zh-TW" w:eastAsia="zh-CN" w:bidi="ar"/>
        </w:rPr>
      </w:pPr>
      <w:r>
        <w:rPr>
          <w:rFonts w:hint="eastAsia" w:ascii="仿宋" w:hAnsi="仿宋" w:eastAsia="仿宋" w:cs="仿宋"/>
          <w:bCs/>
          <w:sz w:val="28"/>
          <w:szCs w:val="28"/>
          <w:lang w:val="zh-TW" w:eastAsia="zh-TW" w:bidi="ar"/>
        </w:rPr>
        <w:t>本次调查旨在了解</w:t>
      </w:r>
      <w:r>
        <w:rPr>
          <w:rFonts w:hint="eastAsia" w:ascii="仿宋" w:hAnsi="仿宋" w:eastAsia="仿宋" w:cs="仿宋"/>
          <w:bCs/>
          <w:sz w:val="28"/>
          <w:szCs w:val="28"/>
          <w:lang w:val="zh-TW" w:eastAsia="zh-CN" w:bidi="ar"/>
        </w:rPr>
        <w:t>公卫工作人员对临猗县</w:t>
      </w:r>
      <w:r>
        <w:rPr>
          <w:rFonts w:hint="eastAsia" w:ascii="仿宋" w:hAnsi="仿宋" w:eastAsia="仿宋" w:cs="仿宋"/>
          <w:bCs/>
          <w:sz w:val="28"/>
          <w:szCs w:val="28"/>
          <w:lang w:val="zh-TW" w:eastAsia="zh-TW" w:bidi="ar"/>
        </w:rPr>
        <w:t>20</w:t>
      </w:r>
      <w:r>
        <w:rPr>
          <w:rFonts w:hint="eastAsia" w:ascii="仿宋" w:hAnsi="仿宋" w:eastAsia="仿宋" w:cs="仿宋"/>
          <w:bCs/>
          <w:sz w:val="28"/>
          <w:szCs w:val="28"/>
          <w:lang w:val="en-US" w:eastAsia="zh-CN" w:bidi="ar"/>
        </w:rPr>
        <w:t>20</w:t>
      </w:r>
      <w:r>
        <w:rPr>
          <w:rFonts w:hint="eastAsia" w:ascii="仿宋" w:hAnsi="仿宋" w:eastAsia="仿宋" w:cs="仿宋"/>
          <w:bCs/>
          <w:sz w:val="28"/>
          <w:szCs w:val="28"/>
          <w:lang w:val="zh-TW" w:eastAsia="zh-TW" w:bidi="ar"/>
        </w:rPr>
        <w:t>年国家基本公共卫生项目</w:t>
      </w:r>
      <w:r>
        <w:rPr>
          <w:rFonts w:hint="eastAsia" w:ascii="仿宋" w:hAnsi="仿宋" w:eastAsia="仿宋" w:cs="仿宋"/>
          <w:bCs/>
          <w:sz w:val="28"/>
          <w:szCs w:val="28"/>
          <w:lang w:val="zh-TW" w:eastAsia="zh-CN" w:bidi="ar"/>
        </w:rPr>
        <w:t>的满意度。</w:t>
      </w:r>
    </w:p>
    <w:p>
      <w:pPr>
        <w:spacing w:line="560" w:lineRule="exact"/>
        <w:ind w:firstLine="562" w:firstLineChars="200"/>
        <w:outlineLvl w:val="0"/>
        <w:rPr>
          <w:rFonts w:hint="eastAsia" w:ascii="仿宋" w:hAnsi="仿宋" w:eastAsia="仿宋" w:cs="仿宋"/>
          <w:b/>
          <w:bCs w:val="0"/>
          <w:sz w:val="28"/>
          <w:szCs w:val="28"/>
          <w:lang w:val="zh-TW" w:eastAsia="zh-TW" w:bidi="ar"/>
        </w:rPr>
      </w:pPr>
      <w:bookmarkStart w:id="327" w:name="_Toc17393"/>
      <w:r>
        <w:rPr>
          <w:rFonts w:hint="eastAsia" w:ascii="仿宋" w:hAnsi="仿宋" w:eastAsia="仿宋" w:cs="仿宋"/>
          <w:b/>
          <w:bCs w:val="0"/>
          <w:sz w:val="28"/>
          <w:szCs w:val="28"/>
          <w:lang w:val="zh-TW" w:eastAsia="zh-CN" w:bidi="ar"/>
        </w:rPr>
        <w:t>二</w:t>
      </w:r>
      <w:r>
        <w:rPr>
          <w:rFonts w:hint="eastAsia" w:ascii="仿宋" w:hAnsi="仿宋" w:eastAsia="仿宋" w:cs="仿宋"/>
          <w:b/>
          <w:bCs w:val="0"/>
          <w:sz w:val="28"/>
          <w:szCs w:val="28"/>
          <w:lang w:val="zh-TW" w:eastAsia="zh-TW" w:bidi="ar"/>
        </w:rPr>
        <w:t>、调查对象与调查内容</w:t>
      </w:r>
      <w:bookmarkEnd w:id="327"/>
    </w:p>
    <w:p>
      <w:pPr>
        <w:spacing w:line="560" w:lineRule="exact"/>
        <w:ind w:firstLine="560" w:firstLineChars="200"/>
        <w:outlineLvl w:val="1"/>
        <w:rPr>
          <w:rFonts w:hint="eastAsia" w:ascii="仿宋" w:hAnsi="仿宋" w:eastAsia="仿宋" w:cs="仿宋"/>
          <w:bCs/>
          <w:sz w:val="28"/>
          <w:szCs w:val="28"/>
          <w:lang w:val="zh-TW" w:eastAsia="zh-TW" w:bidi="ar"/>
        </w:rPr>
      </w:pPr>
      <w:bookmarkStart w:id="328" w:name="_Toc6608"/>
      <w:r>
        <w:rPr>
          <w:rFonts w:hint="eastAsia" w:ascii="仿宋" w:hAnsi="仿宋" w:eastAsia="仿宋" w:cs="仿宋"/>
          <w:bCs/>
          <w:sz w:val="28"/>
          <w:szCs w:val="28"/>
          <w:lang w:val="zh-TW" w:eastAsia="zh-TW" w:bidi="ar"/>
        </w:rPr>
        <w:t>（一）调查对象</w:t>
      </w:r>
      <w:bookmarkEnd w:id="328"/>
    </w:p>
    <w:p>
      <w:pPr>
        <w:spacing w:line="560" w:lineRule="exact"/>
        <w:ind w:firstLine="560" w:firstLineChars="200"/>
        <w:rPr>
          <w:rFonts w:hint="eastAsia" w:ascii="仿宋" w:hAnsi="仿宋" w:eastAsia="仿宋" w:cs="仿宋"/>
          <w:bCs/>
          <w:sz w:val="28"/>
          <w:szCs w:val="28"/>
          <w:lang w:val="zh-TW" w:eastAsia="zh-TW" w:bidi="ar"/>
        </w:rPr>
      </w:pPr>
      <w:r>
        <w:rPr>
          <w:rFonts w:hint="eastAsia" w:ascii="仿宋" w:hAnsi="仿宋" w:eastAsia="仿宋" w:cs="仿宋"/>
          <w:bCs/>
          <w:sz w:val="28"/>
          <w:szCs w:val="28"/>
          <w:lang w:val="zh-TW" w:eastAsia="zh-CN" w:bidi="ar"/>
        </w:rPr>
        <w:t>各基层医疗卫生机构的公卫工作人员</w:t>
      </w:r>
      <w:r>
        <w:rPr>
          <w:rFonts w:hint="eastAsia" w:ascii="仿宋" w:hAnsi="仿宋" w:eastAsia="仿宋" w:cs="仿宋"/>
          <w:bCs/>
          <w:sz w:val="28"/>
          <w:szCs w:val="28"/>
          <w:lang w:val="zh-TW" w:eastAsia="zh-TW" w:bidi="ar"/>
        </w:rPr>
        <w:t>。</w:t>
      </w:r>
    </w:p>
    <w:p>
      <w:pPr>
        <w:spacing w:line="560" w:lineRule="exact"/>
        <w:ind w:firstLine="560" w:firstLineChars="200"/>
        <w:outlineLvl w:val="1"/>
        <w:rPr>
          <w:rFonts w:hint="eastAsia" w:ascii="仿宋" w:hAnsi="仿宋" w:eastAsia="仿宋" w:cs="仿宋"/>
          <w:bCs/>
          <w:sz w:val="28"/>
          <w:szCs w:val="28"/>
          <w:lang w:val="zh-TW" w:eastAsia="zh-TW" w:bidi="ar"/>
        </w:rPr>
      </w:pPr>
      <w:bookmarkStart w:id="329" w:name="_Toc13033"/>
      <w:r>
        <w:rPr>
          <w:rFonts w:hint="eastAsia" w:ascii="仿宋" w:hAnsi="仿宋" w:eastAsia="仿宋" w:cs="仿宋"/>
          <w:bCs/>
          <w:sz w:val="28"/>
          <w:szCs w:val="28"/>
          <w:lang w:val="zh-TW" w:eastAsia="zh-TW" w:bidi="ar"/>
        </w:rPr>
        <w:t>（二）调查内容</w:t>
      </w:r>
      <w:bookmarkEnd w:id="329"/>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Cs/>
          <w:sz w:val="28"/>
          <w:szCs w:val="28"/>
          <w:lang w:val="zh-TW" w:eastAsia="zh-CN" w:bidi="ar"/>
        </w:rPr>
      </w:pPr>
      <w:r>
        <w:rPr>
          <w:rFonts w:hint="eastAsia" w:ascii="仿宋" w:hAnsi="仿宋" w:eastAsia="仿宋" w:cs="仿宋"/>
          <w:bCs/>
          <w:sz w:val="28"/>
          <w:szCs w:val="28"/>
          <w:lang w:val="zh-TW" w:eastAsia="zh-CN" w:bidi="ar"/>
        </w:rPr>
        <w:t>您对本院（中心）基本公共卫生服务管理工作是否满意；您对上级部门制定的绩效考核标准是否满意；您对基本公共卫生目前的运行模式是否满意；您对基本公共卫生医疗人员待遇是否满意；您对基本公共卫生项目每年专业培训内容是否满意。</w:t>
      </w:r>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outlineLvl w:val="0"/>
        <w:rPr>
          <w:rFonts w:hint="eastAsia" w:ascii="仿宋" w:hAnsi="仿宋" w:eastAsia="仿宋" w:cs="仿宋"/>
          <w:b/>
          <w:bCs w:val="0"/>
          <w:sz w:val="28"/>
          <w:szCs w:val="28"/>
          <w:lang w:val="zh-TW" w:eastAsia="zh-TW" w:bidi="ar"/>
        </w:rPr>
      </w:pPr>
      <w:bookmarkStart w:id="330" w:name="_Toc14507"/>
      <w:r>
        <w:rPr>
          <w:rFonts w:hint="eastAsia" w:ascii="仿宋" w:hAnsi="仿宋" w:eastAsia="仿宋" w:cs="仿宋"/>
          <w:b/>
          <w:bCs w:val="0"/>
          <w:sz w:val="28"/>
          <w:szCs w:val="28"/>
          <w:lang w:val="zh-TW" w:eastAsia="zh-CN" w:bidi="ar"/>
        </w:rPr>
        <w:t>三</w:t>
      </w:r>
      <w:r>
        <w:rPr>
          <w:rFonts w:hint="eastAsia" w:ascii="仿宋" w:hAnsi="仿宋" w:eastAsia="仿宋" w:cs="仿宋"/>
          <w:b/>
          <w:bCs w:val="0"/>
          <w:sz w:val="28"/>
          <w:szCs w:val="28"/>
          <w:lang w:val="zh-TW" w:eastAsia="zh-TW" w:bidi="ar"/>
        </w:rPr>
        <w:t>、调查分析</w:t>
      </w:r>
      <w:bookmarkEnd w:id="330"/>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bCs/>
          <w:sz w:val="28"/>
          <w:szCs w:val="28"/>
          <w:lang w:val="en-US" w:eastAsia="zh-CN" w:bidi="ar"/>
        </w:rPr>
      </w:pPr>
      <w:r>
        <w:rPr>
          <w:rFonts w:hint="eastAsia" w:ascii="仿宋" w:hAnsi="仿宋" w:eastAsia="仿宋" w:cs="仿宋"/>
          <w:bCs/>
          <w:sz w:val="28"/>
          <w:szCs w:val="28"/>
          <w:lang w:val="en-US" w:eastAsia="zh-CN" w:bidi="ar"/>
        </w:rPr>
        <w:t>根据基本信息分析，本次调查的</w:t>
      </w:r>
    </w:p>
    <w:p>
      <w:pPr>
        <w:keepNext w:val="0"/>
        <w:keepLines w:val="0"/>
        <w:pageBreakBefore w:val="0"/>
        <w:widowControl w:val="0"/>
        <w:numPr>
          <w:ilvl w:val="0"/>
          <w:numId w:val="9"/>
        </w:numPr>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bCs/>
          <w:sz w:val="28"/>
          <w:szCs w:val="28"/>
          <w:lang w:val="en-US" w:eastAsia="zh-CN" w:bidi="ar"/>
        </w:rPr>
      </w:pPr>
      <w:r>
        <w:rPr>
          <w:rFonts w:hint="eastAsia" w:ascii="仿宋" w:hAnsi="仿宋" w:eastAsia="仿宋" w:cs="仿宋"/>
          <w:bCs/>
          <w:sz w:val="28"/>
          <w:szCs w:val="28"/>
          <w:lang w:val="en-US" w:eastAsia="zh-CN" w:bidi="ar"/>
        </w:rPr>
        <w:t>您对本院（中心）基本公共卫生服务管理工作是否满意?   [单选题]</w:t>
      </w:r>
    </w:p>
    <w:tbl>
      <w:tblPr>
        <w:tblStyle w:val="14"/>
        <w:tblW w:w="8522" w:type="dxa"/>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3077"/>
        <w:gridCol w:w="1032"/>
        <w:gridCol w:w="441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E0E0E0"/>
            <w:vAlign w:val="center"/>
          </w:tcPr>
          <w:p>
            <w:pPr>
              <w:jc w:val="center"/>
            </w:pPr>
            <w:r>
              <w:t>选项</w:t>
            </w:r>
          </w:p>
        </w:tc>
        <w:tc>
          <w:tcPr>
            <w:tcW w:w="1032" w:type="dxa"/>
            <w:shd w:val="clear" w:color="auto" w:fill="E0E0E0"/>
            <w:vAlign w:val="center"/>
          </w:tcPr>
          <w:p>
            <w:pPr>
              <w:jc w:val="center"/>
            </w:pPr>
            <w:r>
              <w:t>小计</w:t>
            </w:r>
          </w:p>
        </w:tc>
        <w:tc>
          <w:tcPr>
            <w:tcW w:w="4413" w:type="dxa"/>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FFFFFF"/>
            <w:vAlign w:val="center"/>
          </w:tcPr>
          <w:p>
            <w:pPr>
              <w:jc w:val="left"/>
            </w:pPr>
            <w:r>
              <w:t>非常满意</w:t>
            </w:r>
          </w:p>
        </w:tc>
        <w:tc>
          <w:tcPr>
            <w:tcW w:w="1032" w:type="dxa"/>
            <w:shd w:val="clear" w:color="auto" w:fill="FFFFFF"/>
            <w:vAlign w:val="center"/>
          </w:tcPr>
          <w:p>
            <w:pPr>
              <w:jc w:val="center"/>
            </w:pPr>
            <w:r>
              <w:t>62</w:t>
            </w:r>
          </w:p>
        </w:tc>
        <w:tc>
          <w:tcPr>
            <w:tcW w:w="4413" w:type="dxa"/>
            <w:shd w:val="clear" w:color="auto" w:fill="FFFFFF"/>
            <w:vAlign w:val="center"/>
          </w:tcPr>
          <w:p>
            <w:pPr>
              <w:jc w:val="left"/>
            </w:pPr>
            <w:r>
              <w:drawing>
                <wp:inline distT="0" distB="0" distL="114300" distR="114300">
                  <wp:extent cx="838200" cy="114300"/>
                  <wp:effectExtent l="0" t="0" r="0" b="0"/>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26"/>
                          <a:stretch>
                            <a:fillRect/>
                          </a:stretch>
                        </pic:blipFill>
                        <pic:spPr>
                          <a:xfrm>
                            <a:off x="0" y="0"/>
                            <a:ext cx="838200" cy="114300"/>
                          </a:xfrm>
                          <a:prstGeom prst="rect">
                            <a:avLst/>
                          </a:prstGeom>
                          <a:noFill/>
                          <a:ln>
                            <a:noFill/>
                          </a:ln>
                        </pic:spPr>
                      </pic:pic>
                    </a:graphicData>
                  </a:graphic>
                </wp:inline>
              </w:drawing>
            </w:r>
            <w:r>
              <w:drawing>
                <wp:inline distT="0" distB="0" distL="114300" distR="114300">
                  <wp:extent cx="514350" cy="114300"/>
                  <wp:effectExtent l="0" t="0" r="6350" b="0"/>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27"/>
                          <a:stretch>
                            <a:fillRect/>
                          </a:stretch>
                        </pic:blipFill>
                        <pic:spPr>
                          <a:xfrm>
                            <a:off x="0" y="0"/>
                            <a:ext cx="514350" cy="114300"/>
                          </a:xfrm>
                          <a:prstGeom prst="rect">
                            <a:avLst/>
                          </a:prstGeom>
                          <a:noFill/>
                          <a:ln>
                            <a:noFill/>
                          </a:ln>
                        </pic:spPr>
                      </pic:pic>
                    </a:graphicData>
                  </a:graphic>
                </wp:inline>
              </w:drawing>
            </w:r>
            <w:r>
              <w:t>62%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F9F9F9"/>
            <w:vAlign w:val="center"/>
          </w:tcPr>
          <w:p>
            <w:pPr>
              <w:jc w:val="left"/>
            </w:pPr>
            <w:r>
              <w:t>比较满意</w:t>
            </w:r>
          </w:p>
        </w:tc>
        <w:tc>
          <w:tcPr>
            <w:tcW w:w="1032" w:type="dxa"/>
            <w:shd w:val="clear" w:color="auto" w:fill="F9F9F9"/>
            <w:vAlign w:val="center"/>
          </w:tcPr>
          <w:p>
            <w:pPr>
              <w:jc w:val="center"/>
            </w:pPr>
            <w:r>
              <w:t>29</w:t>
            </w:r>
          </w:p>
        </w:tc>
        <w:tc>
          <w:tcPr>
            <w:tcW w:w="4413" w:type="dxa"/>
            <w:shd w:val="clear" w:color="auto" w:fill="F9F9F9"/>
            <w:vAlign w:val="center"/>
          </w:tcPr>
          <w:p>
            <w:pPr>
              <w:jc w:val="left"/>
            </w:pPr>
            <w:r>
              <w:drawing>
                <wp:inline distT="0" distB="0" distL="114300" distR="114300">
                  <wp:extent cx="390525" cy="114300"/>
                  <wp:effectExtent l="0" t="0" r="3175" b="0"/>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28"/>
                          <a:stretch>
                            <a:fillRect/>
                          </a:stretch>
                        </pic:blipFill>
                        <pic:spPr>
                          <a:xfrm>
                            <a:off x="0" y="0"/>
                            <a:ext cx="390525" cy="114300"/>
                          </a:xfrm>
                          <a:prstGeom prst="rect">
                            <a:avLst/>
                          </a:prstGeom>
                          <a:noFill/>
                          <a:ln>
                            <a:noFill/>
                          </a:ln>
                        </pic:spPr>
                      </pic:pic>
                    </a:graphicData>
                  </a:graphic>
                </wp:inline>
              </w:drawing>
            </w:r>
            <w:r>
              <w:drawing>
                <wp:inline distT="0" distB="0" distL="114300" distR="114300">
                  <wp:extent cx="962025" cy="114300"/>
                  <wp:effectExtent l="0" t="0" r="3175" b="0"/>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29"/>
                          <a:stretch>
                            <a:fillRect/>
                          </a:stretch>
                        </pic:blipFill>
                        <pic:spPr>
                          <a:xfrm>
                            <a:off x="0" y="0"/>
                            <a:ext cx="962025" cy="114300"/>
                          </a:xfrm>
                          <a:prstGeom prst="rect">
                            <a:avLst/>
                          </a:prstGeom>
                          <a:noFill/>
                          <a:ln>
                            <a:noFill/>
                          </a:ln>
                        </pic:spPr>
                      </pic:pic>
                    </a:graphicData>
                  </a:graphic>
                </wp:inline>
              </w:drawing>
            </w:r>
            <w:r>
              <w:t>29%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FFFFFF"/>
            <w:vAlign w:val="center"/>
          </w:tcPr>
          <w:p>
            <w:pPr>
              <w:jc w:val="left"/>
            </w:pPr>
            <w:r>
              <w:t>基本满意</w:t>
            </w:r>
          </w:p>
        </w:tc>
        <w:tc>
          <w:tcPr>
            <w:tcW w:w="1032" w:type="dxa"/>
            <w:shd w:val="clear" w:color="auto" w:fill="FFFFFF"/>
            <w:vAlign w:val="center"/>
          </w:tcPr>
          <w:p>
            <w:pPr>
              <w:jc w:val="center"/>
            </w:pPr>
            <w:r>
              <w:t>8</w:t>
            </w:r>
          </w:p>
        </w:tc>
        <w:tc>
          <w:tcPr>
            <w:tcW w:w="4413" w:type="dxa"/>
            <w:shd w:val="clear" w:color="auto" w:fill="FFFFFF"/>
            <w:vAlign w:val="center"/>
          </w:tcPr>
          <w:p>
            <w:pPr>
              <w:jc w:val="left"/>
            </w:pPr>
            <w:r>
              <w:drawing>
                <wp:inline distT="0" distB="0" distL="114300" distR="114300">
                  <wp:extent cx="104775" cy="114300"/>
                  <wp:effectExtent l="0" t="0" r="9525" b="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pic:cNvPicPr>
                        </pic:nvPicPr>
                        <pic:blipFill>
                          <a:blip r:embed="rId30"/>
                          <a:stretch>
                            <a:fillRect/>
                          </a:stretch>
                        </pic:blipFill>
                        <pic:spPr>
                          <a:xfrm>
                            <a:off x="0" y="0"/>
                            <a:ext cx="104775" cy="114300"/>
                          </a:xfrm>
                          <a:prstGeom prst="rect">
                            <a:avLst/>
                          </a:prstGeom>
                          <a:noFill/>
                          <a:ln>
                            <a:noFill/>
                          </a:ln>
                        </pic:spPr>
                      </pic:pic>
                    </a:graphicData>
                  </a:graphic>
                </wp:inline>
              </w:drawing>
            </w:r>
            <w:r>
              <w:drawing>
                <wp:inline distT="0" distB="0" distL="114300" distR="114300">
                  <wp:extent cx="1247775" cy="114300"/>
                  <wp:effectExtent l="0" t="0" r="9525" b="0"/>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pic:cNvPicPr>
                            <a:picLocks noChangeAspect="1"/>
                          </pic:cNvPicPr>
                        </pic:nvPicPr>
                        <pic:blipFill>
                          <a:blip r:embed="rId31"/>
                          <a:stretch>
                            <a:fillRect/>
                          </a:stretch>
                        </pic:blipFill>
                        <pic:spPr>
                          <a:xfrm>
                            <a:off x="0" y="0"/>
                            <a:ext cx="1247775" cy="114300"/>
                          </a:xfrm>
                          <a:prstGeom prst="rect">
                            <a:avLst/>
                          </a:prstGeom>
                          <a:noFill/>
                          <a:ln>
                            <a:noFill/>
                          </a:ln>
                        </pic:spPr>
                      </pic:pic>
                    </a:graphicData>
                  </a:graphic>
                </wp:inline>
              </w:drawing>
            </w:r>
            <w:r>
              <w:t>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F9F9F9"/>
            <w:vAlign w:val="center"/>
          </w:tcPr>
          <w:p>
            <w:pPr>
              <w:jc w:val="left"/>
            </w:pPr>
            <w:r>
              <w:t>不满意</w:t>
            </w:r>
          </w:p>
        </w:tc>
        <w:tc>
          <w:tcPr>
            <w:tcW w:w="1032" w:type="dxa"/>
            <w:shd w:val="clear" w:color="auto" w:fill="F9F9F9"/>
            <w:vAlign w:val="center"/>
          </w:tcPr>
          <w:p>
            <w:pPr>
              <w:jc w:val="center"/>
            </w:pPr>
            <w:r>
              <w:t>1</w:t>
            </w:r>
          </w:p>
        </w:tc>
        <w:tc>
          <w:tcPr>
            <w:tcW w:w="4413" w:type="dxa"/>
            <w:shd w:val="clear" w:color="auto" w:fill="F9F9F9"/>
            <w:vAlign w:val="center"/>
          </w:tcPr>
          <w:p>
            <w:pPr>
              <w:jc w:val="left"/>
            </w:pPr>
            <w:r>
              <w:drawing>
                <wp:inline distT="0" distB="0" distL="114300" distR="114300">
                  <wp:extent cx="9525" cy="114300"/>
                  <wp:effectExtent l="0" t="0" r="3175" b="0"/>
                  <wp:docPr id="4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pic:cNvPicPr>
                            <a:picLocks noChangeAspect="1"/>
                          </pic:cNvPicPr>
                        </pic:nvPicPr>
                        <pic:blipFill>
                          <a:blip r:embed="rId32"/>
                          <a:stretch>
                            <a:fillRect/>
                          </a:stretch>
                        </pic:blipFill>
                        <pic:spPr>
                          <a:xfrm>
                            <a:off x="0" y="0"/>
                            <a:ext cx="9525" cy="114300"/>
                          </a:xfrm>
                          <a:prstGeom prst="rect">
                            <a:avLst/>
                          </a:prstGeom>
                          <a:noFill/>
                          <a:ln>
                            <a:noFill/>
                          </a:ln>
                        </pic:spPr>
                      </pic:pic>
                    </a:graphicData>
                  </a:graphic>
                </wp:inline>
              </w:drawing>
            </w:r>
            <w:r>
              <w:drawing>
                <wp:inline distT="0" distB="0" distL="114300" distR="114300">
                  <wp:extent cx="1343025" cy="114300"/>
                  <wp:effectExtent l="0" t="0" r="3175" b="0"/>
                  <wp:docPr id="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pic:cNvPicPr>
                            <a:picLocks noChangeAspect="1"/>
                          </pic:cNvPicPr>
                        </pic:nvPicPr>
                        <pic:blipFill>
                          <a:blip r:embed="rId33"/>
                          <a:stretch>
                            <a:fillRect/>
                          </a:stretch>
                        </pic:blipFill>
                        <pic:spPr>
                          <a:xfrm>
                            <a:off x="0" y="0"/>
                            <a:ext cx="1343025" cy="114300"/>
                          </a:xfrm>
                          <a:prstGeom prst="rect">
                            <a:avLst/>
                          </a:prstGeom>
                          <a:noFill/>
                          <a:ln>
                            <a:noFill/>
                          </a:ln>
                        </pic:spPr>
                      </pic:pic>
                    </a:graphicData>
                  </a:graphic>
                </wp:inline>
              </w:drawing>
            </w:r>
            <w:r>
              <w:t>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FFFFFF"/>
            <w:vAlign w:val="center"/>
          </w:tcPr>
          <w:p>
            <w:pPr>
              <w:jc w:val="left"/>
            </w:pPr>
            <w:r>
              <w:t>非常不满意</w:t>
            </w:r>
          </w:p>
        </w:tc>
        <w:tc>
          <w:tcPr>
            <w:tcW w:w="1032" w:type="dxa"/>
            <w:shd w:val="clear" w:color="auto" w:fill="FFFFFF"/>
            <w:vAlign w:val="center"/>
          </w:tcPr>
          <w:p>
            <w:pPr>
              <w:jc w:val="center"/>
            </w:pPr>
            <w:r>
              <w:t>0</w:t>
            </w:r>
          </w:p>
        </w:tc>
        <w:tc>
          <w:tcPr>
            <w:tcW w:w="4413" w:type="dxa"/>
            <w:shd w:val="clear" w:color="auto" w:fill="FFFFFF"/>
            <w:vAlign w:val="center"/>
          </w:tcPr>
          <w:p>
            <w:pPr>
              <w:jc w:val="left"/>
            </w:pPr>
            <w:r>
              <w:drawing>
                <wp:inline distT="0" distB="0" distL="114300" distR="114300">
                  <wp:extent cx="1352550" cy="114300"/>
                  <wp:effectExtent l="0" t="0" r="6350" b="0"/>
                  <wp:docPr id="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9"/>
                          <pic:cNvPicPr>
                            <a:picLocks noChangeAspect="1"/>
                          </pic:cNvPicPr>
                        </pic:nvPicPr>
                        <pic:blipFill>
                          <a:blip r:embed="rId34"/>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E0E0E0"/>
            <w:vAlign w:val="center"/>
          </w:tcPr>
          <w:p>
            <w:pPr>
              <w:jc w:val="left"/>
            </w:pPr>
            <w:r>
              <w:t>本题有效填写人次</w:t>
            </w:r>
          </w:p>
        </w:tc>
        <w:tc>
          <w:tcPr>
            <w:tcW w:w="1032" w:type="dxa"/>
            <w:shd w:val="clear" w:color="auto" w:fill="E0E0E0"/>
            <w:vAlign w:val="center"/>
          </w:tcPr>
          <w:p>
            <w:pPr>
              <w:jc w:val="center"/>
            </w:pPr>
            <w:r>
              <w:t>100</w:t>
            </w:r>
          </w:p>
        </w:tc>
        <w:tc>
          <w:tcPr>
            <w:tcW w:w="4413" w:type="dxa"/>
            <w:shd w:val="clear" w:color="auto" w:fill="E0E0E0"/>
            <w:vAlign w:val="center"/>
          </w:tcPr>
          <w:p>
            <w:pPr>
              <w:jc w:val="left"/>
            </w:pPr>
          </w:p>
        </w:tc>
      </w:tr>
    </w:tbl>
    <w:p>
      <w:pPr>
        <w:numPr>
          <w:ilvl w:val="0"/>
          <w:numId w:val="0"/>
        </w:numPr>
        <w:spacing w:line="560" w:lineRule="exact"/>
        <w:ind w:firstLine="560" w:firstLineChars="200"/>
        <w:rPr>
          <w:rFonts w:hint="default" w:ascii="仿宋" w:hAnsi="仿宋" w:eastAsia="仿宋" w:cs="仿宋"/>
          <w:bCs/>
          <w:sz w:val="28"/>
          <w:szCs w:val="28"/>
          <w:lang w:val="en-US" w:eastAsia="zh-CN" w:bidi="ar"/>
        </w:rPr>
      </w:pPr>
      <w:r>
        <w:rPr>
          <w:rFonts w:hint="eastAsia" w:ascii="仿宋" w:hAnsi="仿宋" w:eastAsia="仿宋" w:cs="仿宋"/>
          <w:bCs/>
          <w:sz w:val="28"/>
          <w:szCs w:val="28"/>
          <w:lang w:val="en-US" w:eastAsia="zh-CN" w:bidi="ar"/>
        </w:rPr>
        <w:t>结果分析：本次共发放100份问卷，收回100份。62%的公卫工作人员对</w:t>
      </w:r>
      <w:r>
        <w:rPr>
          <w:rFonts w:hint="eastAsia" w:ascii="仿宋" w:hAnsi="仿宋" w:eastAsia="仿宋" w:cs="仿宋"/>
          <w:bCs/>
          <w:sz w:val="28"/>
          <w:szCs w:val="28"/>
          <w:lang w:val="zh-TW" w:eastAsia="zh-CN" w:bidi="ar"/>
        </w:rPr>
        <w:t>本院基本公共卫生服务管理工作非常满意，说明基层卫生院的公共</w:t>
      </w:r>
      <w:r>
        <w:rPr>
          <w:rFonts w:hint="eastAsia" w:ascii="仿宋" w:hAnsi="仿宋" w:eastAsia="仿宋" w:cs="仿宋"/>
          <w:bCs/>
          <w:sz w:val="28"/>
          <w:szCs w:val="28"/>
          <w:lang w:val="en-US" w:eastAsia="zh-CN" w:bidi="ar"/>
        </w:rPr>
        <w:t>卫生</w:t>
      </w:r>
      <w:r>
        <w:rPr>
          <w:rFonts w:hint="eastAsia" w:ascii="仿宋" w:hAnsi="仿宋" w:eastAsia="仿宋" w:cs="仿宋"/>
          <w:bCs/>
          <w:sz w:val="28"/>
          <w:szCs w:val="28"/>
          <w:lang w:val="zh-TW" w:eastAsia="zh-CN" w:bidi="ar"/>
        </w:rPr>
        <w:t>管理工作</w:t>
      </w:r>
      <w:r>
        <w:rPr>
          <w:rFonts w:hint="eastAsia" w:ascii="仿宋" w:hAnsi="仿宋" w:eastAsia="仿宋" w:cs="仿宋"/>
          <w:bCs/>
          <w:sz w:val="28"/>
          <w:szCs w:val="28"/>
          <w:lang w:val="en-US" w:eastAsia="zh-CN" w:bidi="ar"/>
        </w:rPr>
        <w:t>有待进一步提高</w:t>
      </w:r>
      <w:r>
        <w:rPr>
          <w:rFonts w:hint="eastAsia" w:ascii="仿宋" w:hAnsi="仿宋" w:eastAsia="仿宋" w:cs="仿宋"/>
          <w:bCs/>
          <w:sz w:val="28"/>
          <w:szCs w:val="28"/>
          <w:lang w:val="zh-TW" w:eastAsia="zh-CN" w:bidi="ar"/>
        </w:rPr>
        <w:t>。</w:t>
      </w:r>
    </w:p>
    <w:p>
      <w:pPr>
        <w:numPr>
          <w:ilvl w:val="0"/>
          <w:numId w:val="0"/>
        </w:numPr>
        <w:spacing w:line="560" w:lineRule="exact"/>
        <w:ind w:firstLine="560" w:firstLineChars="200"/>
        <w:rPr>
          <w:rFonts w:hint="eastAsia" w:ascii="仿宋" w:hAnsi="仿宋" w:eastAsia="仿宋" w:cs="仿宋"/>
          <w:bCs/>
          <w:sz w:val="28"/>
          <w:szCs w:val="28"/>
          <w:lang w:val="en-US" w:eastAsia="zh-CN" w:bidi="ar"/>
        </w:rPr>
      </w:pPr>
      <w:r>
        <w:rPr>
          <w:rFonts w:hint="eastAsia" w:ascii="仿宋" w:hAnsi="仿宋" w:eastAsia="仿宋" w:cs="仿宋"/>
          <w:bCs/>
          <w:sz w:val="28"/>
          <w:szCs w:val="28"/>
          <w:lang w:val="en-US" w:eastAsia="zh-CN" w:bidi="ar"/>
        </w:rPr>
        <w:t>2.您对上级部门制定的绩效考核标准是否满意?   [单选题]</w:t>
      </w:r>
    </w:p>
    <w:p>
      <w:pPr>
        <w:rPr>
          <w:b w:val="0"/>
          <w:color w:val="0066FF"/>
          <w:sz w:val="24"/>
        </w:rPr>
      </w:pPr>
    </w:p>
    <w:tbl>
      <w:tblPr>
        <w:tblStyle w:val="14"/>
        <w:tblW w:w="8522" w:type="dxa"/>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3077"/>
        <w:gridCol w:w="1032"/>
        <w:gridCol w:w="441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E0E0E0"/>
            <w:vAlign w:val="center"/>
          </w:tcPr>
          <w:p>
            <w:pPr>
              <w:jc w:val="center"/>
            </w:pPr>
            <w:r>
              <w:t>选项</w:t>
            </w:r>
          </w:p>
        </w:tc>
        <w:tc>
          <w:tcPr>
            <w:tcW w:w="1032" w:type="dxa"/>
            <w:shd w:val="clear" w:color="auto" w:fill="E0E0E0"/>
            <w:vAlign w:val="center"/>
          </w:tcPr>
          <w:p>
            <w:pPr>
              <w:jc w:val="center"/>
            </w:pPr>
            <w:r>
              <w:t>小计</w:t>
            </w:r>
          </w:p>
        </w:tc>
        <w:tc>
          <w:tcPr>
            <w:tcW w:w="4413" w:type="dxa"/>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FFFFFF"/>
            <w:vAlign w:val="center"/>
          </w:tcPr>
          <w:p>
            <w:pPr>
              <w:jc w:val="left"/>
            </w:pPr>
            <w:r>
              <w:t>非常满意</w:t>
            </w:r>
          </w:p>
        </w:tc>
        <w:tc>
          <w:tcPr>
            <w:tcW w:w="1032" w:type="dxa"/>
            <w:shd w:val="clear" w:color="auto" w:fill="FFFFFF"/>
            <w:vAlign w:val="center"/>
          </w:tcPr>
          <w:p>
            <w:pPr>
              <w:jc w:val="center"/>
            </w:pPr>
            <w:r>
              <w:t>41</w:t>
            </w:r>
          </w:p>
        </w:tc>
        <w:tc>
          <w:tcPr>
            <w:tcW w:w="4413" w:type="dxa"/>
            <w:shd w:val="clear" w:color="auto" w:fill="FFFFFF"/>
            <w:vAlign w:val="center"/>
          </w:tcPr>
          <w:p>
            <w:pPr>
              <w:jc w:val="left"/>
            </w:pPr>
            <w:r>
              <w:drawing>
                <wp:inline distT="0" distB="0" distL="114300" distR="114300">
                  <wp:extent cx="552450" cy="114300"/>
                  <wp:effectExtent l="0" t="0" r="6350" b="0"/>
                  <wp:docPr id="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pic:cNvPicPr>
                            <a:picLocks noChangeAspect="1"/>
                          </pic:cNvPicPr>
                        </pic:nvPicPr>
                        <pic:blipFill>
                          <a:blip r:embed="rId35"/>
                          <a:stretch>
                            <a:fillRect/>
                          </a:stretch>
                        </pic:blipFill>
                        <pic:spPr>
                          <a:xfrm>
                            <a:off x="0" y="0"/>
                            <a:ext cx="552450" cy="114300"/>
                          </a:xfrm>
                          <a:prstGeom prst="rect">
                            <a:avLst/>
                          </a:prstGeom>
                          <a:noFill/>
                          <a:ln>
                            <a:noFill/>
                          </a:ln>
                        </pic:spPr>
                      </pic:pic>
                    </a:graphicData>
                  </a:graphic>
                </wp:inline>
              </w:drawing>
            </w:r>
            <w:r>
              <w:drawing>
                <wp:inline distT="0" distB="0" distL="114300" distR="114300">
                  <wp:extent cx="800100" cy="114300"/>
                  <wp:effectExtent l="0" t="0" r="0" b="0"/>
                  <wp:docPr id="5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1"/>
                          <pic:cNvPicPr>
                            <a:picLocks noChangeAspect="1"/>
                          </pic:cNvPicPr>
                        </pic:nvPicPr>
                        <pic:blipFill>
                          <a:blip r:embed="rId36"/>
                          <a:stretch>
                            <a:fillRect/>
                          </a:stretch>
                        </pic:blipFill>
                        <pic:spPr>
                          <a:xfrm>
                            <a:off x="0" y="0"/>
                            <a:ext cx="800100" cy="114300"/>
                          </a:xfrm>
                          <a:prstGeom prst="rect">
                            <a:avLst/>
                          </a:prstGeom>
                          <a:noFill/>
                          <a:ln>
                            <a:noFill/>
                          </a:ln>
                        </pic:spPr>
                      </pic:pic>
                    </a:graphicData>
                  </a:graphic>
                </wp:inline>
              </w:drawing>
            </w:r>
            <w:r>
              <w:t>41%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F9F9F9"/>
            <w:vAlign w:val="center"/>
          </w:tcPr>
          <w:p>
            <w:pPr>
              <w:jc w:val="left"/>
            </w:pPr>
            <w:r>
              <w:t>比较满意</w:t>
            </w:r>
          </w:p>
        </w:tc>
        <w:tc>
          <w:tcPr>
            <w:tcW w:w="1032" w:type="dxa"/>
            <w:shd w:val="clear" w:color="auto" w:fill="F9F9F9"/>
            <w:vAlign w:val="center"/>
          </w:tcPr>
          <w:p>
            <w:pPr>
              <w:jc w:val="center"/>
            </w:pPr>
            <w:r>
              <w:t>34</w:t>
            </w:r>
          </w:p>
        </w:tc>
        <w:tc>
          <w:tcPr>
            <w:tcW w:w="4413" w:type="dxa"/>
            <w:shd w:val="clear" w:color="auto" w:fill="F9F9F9"/>
            <w:vAlign w:val="center"/>
          </w:tcPr>
          <w:p>
            <w:pPr>
              <w:jc w:val="left"/>
            </w:pPr>
            <w:r>
              <w:drawing>
                <wp:inline distT="0" distB="0" distL="114300" distR="114300">
                  <wp:extent cx="457200" cy="114300"/>
                  <wp:effectExtent l="0" t="0" r="0" b="0"/>
                  <wp:docPr id="5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
                          <pic:cNvPicPr>
                            <a:picLocks noChangeAspect="1"/>
                          </pic:cNvPicPr>
                        </pic:nvPicPr>
                        <pic:blipFill>
                          <a:blip r:embed="rId37"/>
                          <a:stretch>
                            <a:fillRect/>
                          </a:stretch>
                        </pic:blipFill>
                        <pic:spPr>
                          <a:xfrm>
                            <a:off x="0" y="0"/>
                            <a:ext cx="457200" cy="114300"/>
                          </a:xfrm>
                          <a:prstGeom prst="rect">
                            <a:avLst/>
                          </a:prstGeom>
                          <a:noFill/>
                          <a:ln>
                            <a:noFill/>
                          </a:ln>
                        </pic:spPr>
                      </pic:pic>
                    </a:graphicData>
                  </a:graphic>
                </wp:inline>
              </w:drawing>
            </w:r>
            <w:r>
              <w:drawing>
                <wp:inline distT="0" distB="0" distL="114300" distR="114300">
                  <wp:extent cx="895350" cy="114300"/>
                  <wp:effectExtent l="0" t="0" r="6350" b="0"/>
                  <wp:docPr id="6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3"/>
                          <pic:cNvPicPr>
                            <a:picLocks noChangeAspect="1"/>
                          </pic:cNvPicPr>
                        </pic:nvPicPr>
                        <pic:blipFill>
                          <a:blip r:embed="rId38"/>
                          <a:stretch>
                            <a:fillRect/>
                          </a:stretch>
                        </pic:blipFill>
                        <pic:spPr>
                          <a:xfrm>
                            <a:off x="0" y="0"/>
                            <a:ext cx="895350" cy="114300"/>
                          </a:xfrm>
                          <a:prstGeom prst="rect">
                            <a:avLst/>
                          </a:prstGeom>
                          <a:noFill/>
                          <a:ln>
                            <a:noFill/>
                          </a:ln>
                        </pic:spPr>
                      </pic:pic>
                    </a:graphicData>
                  </a:graphic>
                </wp:inline>
              </w:drawing>
            </w:r>
            <w:r>
              <w:t>34%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FFFFFF"/>
            <w:vAlign w:val="center"/>
          </w:tcPr>
          <w:p>
            <w:pPr>
              <w:jc w:val="left"/>
            </w:pPr>
            <w:r>
              <w:t>基本满意</w:t>
            </w:r>
          </w:p>
        </w:tc>
        <w:tc>
          <w:tcPr>
            <w:tcW w:w="1032" w:type="dxa"/>
            <w:shd w:val="clear" w:color="auto" w:fill="FFFFFF"/>
            <w:vAlign w:val="center"/>
          </w:tcPr>
          <w:p>
            <w:pPr>
              <w:jc w:val="center"/>
            </w:pPr>
            <w:r>
              <w:t>20</w:t>
            </w:r>
          </w:p>
        </w:tc>
        <w:tc>
          <w:tcPr>
            <w:tcW w:w="4413" w:type="dxa"/>
            <w:shd w:val="clear" w:color="auto" w:fill="FFFFFF"/>
            <w:vAlign w:val="center"/>
          </w:tcPr>
          <w:p>
            <w:pPr>
              <w:jc w:val="left"/>
            </w:pPr>
            <w:r>
              <w:drawing>
                <wp:inline distT="0" distB="0" distL="114300" distR="114300">
                  <wp:extent cx="266700" cy="114300"/>
                  <wp:effectExtent l="0" t="0" r="0" b="0"/>
                  <wp:docPr id="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pic:cNvPicPr>
                            <a:picLocks noChangeAspect="1"/>
                          </pic:cNvPicPr>
                        </pic:nvPicPr>
                        <pic:blipFill>
                          <a:blip r:embed="rId39"/>
                          <a:stretch>
                            <a:fillRect/>
                          </a:stretch>
                        </pic:blipFill>
                        <pic:spPr>
                          <a:xfrm>
                            <a:off x="0" y="0"/>
                            <a:ext cx="266700" cy="114300"/>
                          </a:xfrm>
                          <a:prstGeom prst="rect">
                            <a:avLst/>
                          </a:prstGeom>
                          <a:noFill/>
                          <a:ln>
                            <a:noFill/>
                          </a:ln>
                        </pic:spPr>
                      </pic:pic>
                    </a:graphicData>
                  </a:graphic>
                </wp:inline>
              </w:drawing>
            </w:r>
            <w:r>
              <w:drawing>
                <wp:inline distT="0" distB="0" distL="114300" distR="114300">
                  <wp:extent cx="1085850" cy="114300"/>
                  <wp:effectExtent l="0" t="0" r="6350" b="0"/>
                  <wp:docPr id="6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pic:cNvPicPr>
                            <a:picLocks noChangeAspect="1"/>
                          </pic:cNvPicPr>
                        </pic:nvPicPr>
                        <pic:blipFill>
                          <a:blip r:embed="rId40"/>
                          <a:stretch>
                            <a:fillRect/>
                          </a:stretch>
                        </pic:blipFill>
                        <pic:spPr>
                          <a:xfrm>
                            <a:off x="0" y="0"/>
                            <a:ext cx="1085850" cy="114300"/>
                          </a:xfrm>
                          <a:prstGeom prst="rect">
                            <a:avLst/>
                          </a:prstGeom>
                          <a:noFill/>
                          <a:ln>
                            <a:noFill/>
                          </a:ln>
                        </pic:spPr>
                      </pic:pic>
                    </a:graphicData>
                  </a:graphic>
                </wp:inline>
              </w:drawing>
            </w:r>
            <w:r>
              <w:t>20%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F9F9F9"/>
            <w:vAlign w:val="center"/>
          </w:tcPr>
          <w:p>
            <w:pPr>
              <w:jc w:val="left"/>
            </w:pPr>
            <w:r>
              <w:t>不满意</w:t>
            </w:r>
          </w:p>
        </w:tc>
        <w:tc>
          <w:tcPr>
            <w:tcW w:w="1032" w:type="dxa"/>
            <w:shd w:val="clear" w:color="auto" w:fill="F9F9F9"/>
            <w:vAlign w:val="center"/>
          </w:tcPr>
          <w:p>
            <w:pPr>
              <w:jc w:val="center"/>
            </w:pPr>
            <w:r>
              <w:t>4</w:t>
            </w:r>
          </w:p>
        </w:tc>
        <w:tc>
          <w:tcPr>
            <w:tcW w:w="4413" w:type="dxa"/>
            <w:shd w:val="clear" w:color="auto" w:fill="F9F9F9"/>
            <w:vAlign w:val="center"/>
          </w:tcPr>
          <w:p>
            <w:pPr>
              <w:jc w:val="left"/>
            </w:pPr>
            <w:r>
              <w:drawing>
                <wp:inline distT="0" distB="0" distL="114300" distR="114300">
                  <wp:extent cx="47625" cy="114300"/>
                  <wp:effectExtent l="0" t="0" r="3175" b="0"/>
                  <wp:docPr id="6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6"/>
                          <pic:cNvPicPr>
                            <a:picLocks noChangeAspect="1"/>
                          </pic:cNvPicPr>
                        </pic:nvPicPr>
                        <pic:blipFill>
                          <a:blip r:embed="rId41"/>
                          <a:stretch>
                            <a:fillRect/>
                          </a:stretch>
                        </pic:blipFill>
                        <pic:spPr>
                          <a:xfrm>
                            <a:off x="0" y="0"/>
                            <a:ext cx="47625" cy="114300"/>
                          </a:xfrm>
                          <a:prstGeom prst="rect">
                            <a:avLst/>
                          </a:prstGeom>
                          <a:noFill/>
                          <a:ln>
                            <a:noFill/>
                          </a:ln>
                        </pic:spPr>
                      </pic:pic>
                    </a:graphicData>
                  </a:graphic>
                </wp:inline>
              </w:drawing>
            </w:r>
            <w:r>
              <w:drawing>
                <wp:inline distT="0" distB="0" distL="114300" distR="114300">
                  <wp:extent cx="1304925" cy="114300"/>
                  <wp:effectExtent l="0" t="0" r="3175" b="0"/>
                  <wp:docPr id="5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7"/>
                          <pic:cNvPicPr>
                            <a:picLocks noChangeAspect="1"/>
                          </pic:cNvPicPr>
                        </pic:nvPicPr>
                        <pic:blipFill>
                          <a:blip r:embed="rId42"/>
                          <a:stretch>
                            <a:fillRect/>
                          </a:stretch>
                        </pic:blipFill>
                        <pic:spPr>
                          <a:xfrm>
                            <a:off x="0" y="0"/>
                            <a:ext cx="1304925" cy="114300"/>
                          </a:xfrm>
                          <a:prstGeom prst="rect">
                            <a:avLst/>
                          </a:prstGeom>
                          <a:noFill/>
                          <a:ln>
                            <a:noFill/>
                          </a:ln>
                        </pic:spPr>
                      </pic:pic>
                    </a:graphicData>
                  </a:graphic>
                </wp:inline>
              </w:drawing>
            </w:r>
            <w:r>
              <w:t>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FFFFFF"/>
            <w:vAlign w:val="center"/>
          </w:tcPr>
          <w:p>
            <w:pPr>
              <w:jc w:val="left"/>
            </w:pPr>
            <w:r>
              <w:t>非常不满意</w:t>
            </w:r>
          </w:p>
        </w:tc>
        <w:tc>
          <w:tcPr>
            <w:tcW w:w="1032" w:type="dxa"/>
            <w:shd w:val="clear" w:color="auto" w:fill="FFFFFF"/>
            <w:vAlign w:val="center"/>
          </w:tcPr>
          <w:p>
            <w:pPr>
              <w:jc w:val="center"/>
            </w:pPr>
            <w:r>
              <w:t>1</w:t>
            </w:r>
          </w:p>
        </w:tc>
        <w:tc>
          <w:tcPr>
            <w:tcW w:w="4413" w:type="dxa"/>
            <w:shd w:val="clear" w:color="auto" w:fill="FFFFFF"/>
            <w:vAlign w:val="center"/>
          </w:tcPr>
          <w:p>
            <w:pPr>
              <w:jc w:val="left"/>
            </w:pPr>
            <w:r>
              <w:drawing>
                <wp:inline distT="0" distB="0" distL="114300" distR="114300">
                  <wp:extent cx="9525" cy="114300"/>
                  <wp:effectExtent l="0" t="0" r="3175" b="0"/>
                  <wp:docPr id="5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8"/>
                          <pic:cNvPicPr>
                            <a:picLocks noChangeAspect="1"/>
                          </pic:cNvPicPr>
                        </pic:nvPicPr>
                        <pic:blipFill>
                          <a:blip r:embed="rId32"/>
                          <a:stretch>
                            <a:fillRect/>
                          </a:stretch>
                        </pic:blipFill>
                        <pic:spPr>
                          <a:xfrm>
                            <a:off x="0" y="0"/>
                            <a:ext cx="9525" cy="114300"/>
                          </a:xfrm>
                          <a:prstGeom prst="rect">
                            <a:avLst/>
                          </a:prstGeom>
                          <a:noFill/>
                          <a:ln>
                            <a:noFill/>
                          </a:ln>
                        </pic:spPr>
                      </pic:pic>
                    </a:graphicData>
                  </a:graphic>
                </wp:inline>
              </w:drawing>
            </w:r>
            <w:r>
              <w:drawing>
                <wp:inline distT="0" distB="0" distL="114300" distR="114300">
                  <wp:extent cx="1343025" cy="114300"/>
                  <wp:effectExtent l="0" t="0" r="3175" b="0"/>
                  <wp:docPr id="5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9"/>
                          <pic:cNvPicPr>
                            <a:picLocks noChangeAspect="1"/>
                          </pic:cNvPicPr>
                        </pic:nvPicPr>
                        <pic:blipFill>
                          <a:blip r:embed="rId33"/>
                          <a:stretch>
                            <a:fillRect/>
                          </a:stretch>
                        </pic:blipFill>
                        <pic:spPr>
                          <a:xfrm>
                            <a:off x="0" y="0"/>
                            <a:ext cx="1343025" cy="114300"/>
                          </a:xfrm>
                          <a:prstGeom prst="rect">
                            <a:avLst/>
                          </a:prstGeom>
                          <a:noFill/>
                          <a:ln>
                            <a:noFill/>
                          </a:ln>
                        </pic:spPr>
                      </pic:pic>
                    </a:graphicData>
                  </a:graphic>
                </wp:inline>
              </w:drawing>
            </w:r>
            <w:r>
              <w:t>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E0E0E0"/>
            <w:vAlign w:val="center"/>
          </w:tcPr>
          <w:p>
            <w:pPr>
              <w:jc w:val="left"/>
            </w:pPr>
            <w:r>
              <w:t>本题有效填写人次</w:t>
            </w:r>
          </w:p>
        </w:tc>
        <w:tc>
          <w:tcPr>
            <w:tcW w:w="1032" w:type="dxa"/>
            <w:shd w:val="clear" w:color="auto" w:fill="E0E0E0"/>
            <w:vAlign w:val="center"/>
          </w:tcPr>
          <w:p>
            <w:pPr>
              <w:jc w:val="center"/>
            </w:pPr>
            <w:r>
              <w:t>100</w:t>
            </w:r>
          </w:p>
        </w:tc>
        <w:tc>
          <w:tcPr>
            <w:tcW w:w="4413" w:type="dxa"/>
            <w:shd w:val="clear" w:color="auto" w:fill="E0E0E0"/>
            <w:vAlign w:val="center"/>
          </w:tcPr>
          <w:p>
            <w:pPr>
              <w:jc w:val="left"/>
            </w:pPr>
          </w:p>
        </w:tc>
      </w:tr>
    </w:tbl>
    <w:p>
      <w:pPr>
        <w:pStyle w:val="2"/>
      </w:pPr>
    </w:p>
    <w:p>
      <w:pPr>
        <w:numPr>
          <w:ilvl w:val="0"/>
          <w:numId w:val="0"/>
        </w:numPr>
        <w:spacing w:line="560" w:lineRule="exact"/>
        <w:ind w:firstLine="560" w:firstLineChars="200"/>
        <w:rPr>
          <w:rFonts w:hint="eastAsia" w:ascii="仿宋" w:hAnsi="仿宋" w:eastAsia="仿宋" w:cs="仿宋"/>
          <w:bCs/>
          <w:sz w:val="28"/>
          <w:szCs w:val="28"/>
          <w:lang w:val="zh-TW" w:eastAsia="zh-CN" w:bidi="ar"/>
        </w:rPr>
      </w:pPr>
      <w:r>
        <w:rPr>
          <w:rFonts w:hint="eastAsia" w:ascii="仿宋" w:hAnsi="仿宋" w:eastAsia="仿宋" w:cs="仿宋"/>
          <w:bCs/>
          <w:sz w:val="28"/>
          <w:szCs w:val="28"/>
          <w:lang w:val="en-US" w:eastAsia="zh-CN" w:bidi="ar"/>
        </w:rPr>
        <w:t>结果分析：本次共发放100份问卷，收回100份。41%的公卫工作人员对</w:t>
      </w:r>
      <w:r>
        <w:rPr>
          <w:rFonts w:hint="eastAsia" w:ascii="仿宋" w:hAnsi="仿宋" w:eastAsia="仿宋" w:cs="仿宋"/>
          <w:bCs/>
          <w:sz w:val="28"/>
          <w:szCs w:val="28"/>
          <w:lang w:val="zh-TW" w:eastAsia="zh-CN" w:bidi="ar"/>
        </w:rPr>
        <w:t>上级部门制定的绩效考核标准非常满意，</w:t>
      </w:r>
      <w:r>
        <w:rPr>
          <w:rFonts w:hint="eastAsia" w:ascii="仿宋" w:hAnsi="仿宋" w:eastAsia="仿宋" w:cs="仿宋"/>
          <w:bCs/>
          <w:sz w:val="28"/>
          <w:szCs w:val="28"/>
          <w:lang w:val="en-US" w:eastAsia="zh-CN" w:bidi="ar"/>
        </w:rPr>
        <w:t>34%的人员</w:t>
      </w:r>
      <w:r>
        <w:rPr>
          <w:rFonts w:hint="eastAsia" w:ascii="仿宋" w:hAnsi="仿宋" w:eastAsia="仿宋" w:cs="仿宋"/>
          <w:bCs/>
          <w:sz w:val="28"/>
          <w:szCs w:val="28"/>
          <w:lang w:val="zh-TW" w:eastAsia="zh-CN" w:bidi="ar"/>
        </w:rPr>
        <w:t>基本满意，说明上级部门制定的绩效考核标准</w:t>
      </w:r>
      <w:r>
        <w:rPr>
          <w:rFonts w:hint="eastAsia" w:ascii="仿宋" w:hAnsi="仿宋" w:eastAsia="仿宋" w:cs="仿宋"/>
          <w:bCs/>
          <w:sz w:val="28"/>
          <w:szCs w:val="28"/>
          <w:lang w:val="en-US" w:eastAsia="zh-CN" w:bidi="ar"/>
        </w:rPr>
        <w:t>基本</w:t>
      </w:r>
      <w:r>
        <w:rPr>
          <w:rFonts w:hint="eastAsia" w:ascii="仿宋" w:hAnsi="仿宋" w:eastAsia="仿宋" w:cs="仿宋"/>
          <w:bCs/>
          <w:sz w:val="28"/>
          <w:szCs w:val="28"/>
          <w:lang w:val="zh-TW" w:eastAsia="zh-CN" w:bidi="ar"/>
        </w:rPr>
        <w:t>合理。</w:t>
      </w:r>
    </w:p>
    <w:p>
      <w:pPr>
        <w:numPr>
          <w:ilvl w:val="0"/>
          <w:numId w:val="0"/>
        </w:numPr>
        <w:spacing w:line="560" w:lineRule="exact"/>
        <w:ind w:firstLine="560" w:firstLineChars="200"/>
        <w:rPr>
          <w:rFonts w:hint="eastAsia" w:ascii="仿宋" w:hAnsi="仿宋" w:eastAsia="仿宋" w:cs="仿宋"/>
          <w:bCs/>
          <w:sz w:val="28"/>
          <w:szCs w:val="28"/>
          <w:lang w:val="en-US" w:eastAsia="zh-CN" w:bidi="ar"/>
        </w:rPr>
      </w:pPr>
      <w:r>
        <w:rPr>
          <w:rFonts w:hint="eastAsia" w:ascii="仿宋" w:hAnsi="仿宋" w:eastAsia="仿宋" w:cs="仿宋"/>
          <w:bCs/>
          <w:sz w:val="28"/>
          <w:szCs w:val="28"/>
          <w:lang w:val="en-US" w:eastAsia="zh-CN" w:bidi="ar"/>
        </w:rPr>
        <w:t>3.您对基本公共卫生目前的运行模式是否满意?   [单选题]</w:t>
      </w:r>
    </w:p>
    <w:p>
      <w:pPr>
        <w:rPr>
          <w:b w:val="0"/>
          <w:color w:val="0066FF"/>
          <w:sz w:val="24"/>
        </w:rPr>
      </w:pPr>
    </w:p>
    <w:tbl>
      <w:tblPr>
        <w:tblStyle w:val="14"/>
        <w:tblW w:w="8522" w:type="dxa"/>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3065"/>
        <w:gridCol w:w="1028"/>
        <w:gridCol w:w="442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65" w:type="dxa"/>
            <w:shd w:val="clear" w:color="auto" w:fill="E0E0E0"/>
            <w:vAlign w:val="center"/>
          </w:tcPr>
          <w:p>
            <w:pPr>
              <w:jc w:val="center"/>
            </w:pPr>
            <w:r>
              <w:t>选项</w:t>
            </w:r>
          </w:p>
        </w:tc>
        <w:tc>
          <w:tcPr>
            <w:tcW w:w="1028" w:type="dxa"/>
            <w:shd w:val="clear" w:color="auto" w:fill="E0E0E0"/>
            <w:vAlign w:val="center"/>
          </w:tcPr>
          <w:p>
            <w:pPr>
              <w:jc w:val="center"/>
            </w:pPr>
            <w:r>
              <w:t>小计</w:t>
            </w:r>
          </w:p>
        </w:tc>
        <w:tc>
          <w:tcPr>
            <w:tcW w:w="4429" w:type="dxa"/>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65" w:type="dxa"/>
            <w:shd w:val="clear" w:color="auto" w:fill="FFFFFF"/>
            <w:vAlign w:val="center"/>
          </w:tcPr>
          <w:p>
            <w:pPr>
              <w:jc w:val="left"/>
            </w:pPr>
            <w:r>
              <w:t>非常满意</w:t>
            </w:r>
          </w:p>
        </w:tc>
        <w:tc>
          <w:tcPr>
            <w:tcW w:w="1028" w:type="dxa"/>
            <w:shd w:val="clear" w:color="auto" w:fill="FFFFFF"/>
            <w:vAlign w:val="center"/>
          </w:tcPr>
          <w:p>
            <w:pPr>
              <w:jc w:val="center"/>
            </w:pPr>
            <w:r>
              <w:t>42</w:t>
            </w:r>
          </w:p>
        </w:tc>
        <w:tc>
          <w:tcPr>
            <w:tcW w:w="4429" w:type="dxa"/>
            <w:shd w:val="clear" w:color="auto" w:fill="FFFFFF"/>
            <w:vAlign w:val="center"/>
          </w:tcPr>
          <w:p>
            <w:pPr>
              <w:jc w:val="left"/>
            </w:pPr>
            <w:r>
              <w:drawing>
                <wp:inline distT="0" distB="0" distL="114300" distR="114300">
                  <wp:extent cx="561975" cy="114300"/>
                  <wp:effectExtent l="0" t="0" r="9525" b="0"/>
                  <wp:docPr id="6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0"/>
                          <pic:cNvPicPr>
                            <a:picLocks noChangeAspect="1"/>
                          </pic:cNvPicPr>
                        </pic:nvPicPr>
                        <pic:blipFill>
                          <a:blip r:embed="rId43"/>
                          <a:stretch>
                            <a:fillRect/>
                          </a:stretch>
                        </pic:blipFill>
                        <pic:spPr>
                          <a:xfrm>
                            <a:off x="0" y="0"/>
                            <a:ext cx="561975" cy="114300"/>
                          </a:xfrm>
                          <a:prstGeom prst="rect">
                            <a:avLst/>
                          </a:prstGeom>
                          <a:noFill/>
                          <a:ln>
                            <a:noFill/>
                          </a:ln>
                        </pic:spPr>
                      </pic:pic>
                    </a:graphicData>
                  </a:graphic>
                </wp:inline>
              </w:drawing>
            </w:r>
            <w:r>
              <w:drawing>
                <wp:inline distT="0" distB="0" distL="114300" distR="114300">
                  <wp:extent cx="790575" cy="114300"/>
                  <wp:effectExtent l="0" t="0" r="9525" b="0"/>
                  <wp:docPr id="6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1"/>
                          <pic:cNvPicPr>
                            <a:picLocks noChangeAspect="1"/>
                          </pic:cNvPicPr>
                        </pic:nvPicPr>
                        <pic:blipFill>
                          <a:blip r:embed="rId44"/>
                          <a:stretch>
                            <a:fillRect/>
                          </a:stretch>
                        </pic:blipFill>
                        <pic:spPr>
                          <a:xfrm>
                            <a:off x="0" y="0"/>
                            <a:ext cx="790575" cy="114300"/>
                          </a:xfrm>
                          <a:prstGeom prst="rect">
                            <a:avLst/>
                          </a:prstGeom>
                          <a:noFill/>
                          <a:ln>
                            <a:noFill/>
                          </a:ln>
                        </pic:spPr>
                      </pic:pic>
                    </a:graphicData>
                  </a:graphic>
                </wp:inline>
              </w:drawing>
            </w:r>
            <w:r>
              <w:t>42%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65" w:type="dxa"/>
            <w:shd w:val="clear" w:color="auto" w:fill="F9F9F9"/>
            <w:vAlign w:val="center"/>
          </w:tcPr>
          <w:p>
            <w:pPr>
              <w:jc w:val="left"/>
            </w:pPr>
            <w:r>
              <w:t>比较满意</w:t>
            </w:r>
          </w:p>
        </w:tc>
        <w:tc>
          <w:tcPr>
            <w:tcW w:w="1028" w:type="dxa"/>
            <w:shd w:val="clear" w:color="auto" w:fill="F9F9F9"/>
            <w:vAlign w:val="center"/>
          </w:tcPr>
          <w:p>
            <w:pPr>
              <w:jc w:val="center"/>
            </w:pPr>
            <w:r>
              <w:t>39</w:t>
            </w:r>
          </w:p>
        </w:tc>
        <w:tc>
          <w:tcPr>
            <w:tcW w:w="4429" w:type="dxa"/>
            <w:shd w:val="clear" w:color="auto" w:fill="F9F9F9"/>
            <w:vAlign w:val="center"/>
          </w:tcPr>
          <w:p>
            <w:pPr>
              <w:jc w:val="left"/>
            </w:pPr>
            <w:r>
              <w:drawing>
                <wp:inline distT="0" distB="0" distL="114300" distR="114300">
                  <wp:extent cx="523875" cy="114300"/>
                  <wp:effectExtent l="0" t="0" r="9525" b="0"/>
                  <wp:docPr id="6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2"/>
                          <pic:cNvPicPr>
                            <a:picLocks noChangeAspect="1"/>
                          </pic:cNvPicPr>
                        </pic:nvPicPr>
                        <pic:blipFill>
                          <a:blip r:embed="rId45"/>
                          <a:stretch>
                            <a:fillRect/>
                          </a:stretch>
                        </pic:blipFill>
                        <pic:spPr>
                          <a:xfrm>
                            <a:off x="0" y="0"/>
                            <a:ext cx="523875" cy="114300"/>
                          </a:xfrm>
                          <a:prstGeom prst="rect">
                            <a:avLst/>
                          </a:prstGeom>
                          <a:noFill/>
                          <a:ln>
                            <a:noFill/>
                          </a:ln>
                        </pic:spPr>
                      </pic:pic>
                    </a:graphicData>
                  </a:graphic>
                </wp:inline>
              </w:drawing>
            </w:r>
            <w:r>
              <w:drawing>
                <wp:inline distT="0" distB="0" distL="114300" distR="114300">
                  <wp:extent cx="828675" cy="114300"/>
                  <wp:effectExtent l="0" t="0" r="9525" b="0"/>
                  <wp:docPr id="6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3"/>
                          <pic:cNvPicPr>
                            <a:picLocks noChangeAspect="1"/>
                          </pic:cNvPicPr>
                        </pic:nvPicPr>
                        <pic:blipFill>
                          <a:blip r:embed="rId46"/>
                          <a:stretch>
                            <a:fillRect/>
                          </a:stretch>
                        </pic:blipFill>
                        <pic:spPr>
                          <a:xfrm>
                            <a:off x="0" y="0"/>
                            <a:ext cx="828675" cy="114300"/>
                          </a:xfrm>
                          <a:prstGeom prst="rect">
                            <a:avLst/>
                          </a:prstGeom>
                          <a:noFill/>
                          <a:ln>
                            <a:noFill/>
                          </a:ln>
                        </pic:spPr>
                      </pic:pic>
                    </a:graphicData>
                  </a:graphic>
                </wp:inline>
              </w:drawing>
            </w:r>
            <w:r>
              <w:t>39%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65" w:type="dxa"/>
            <w:shd w:val="clear" w:color="auto" w:fill="FFFFFF"/>
            <w:vAlign w:val="center"/>
          </w:tcPr>
          <w:p>
            <w:pPr>
              <w:jc w:val="left"/>
            </w:pPr>
            <w:r>
              <w:t>基本满意</w:t>
            </w:r>
          </w:p>
        </w:tc>
        <w:tc>
          <w:tcPr>
            <w:tcW w:w="1028" w:type="dxa"/>
            <w:shd w:val="clear" w:color="auto" w:fill="FFFFFF"/>
            <w:vAlign w:val="center"/>
          </w:tcPr>
          <w:p>
            <w:pPr>
              <w:jc w:val="center"/>
            </w:pPr>
            <w:r>
              <w:t>17</w:t>
            </w:r>
          </w:p>
        </w:tc>
        <w:tc>
          <w:tcPr>
            <w:tcW w:w="4429" w:type="dxa"/>
            <w:shd w:val="clear" w:color="auto" w:fill="FFFFFF"/>
            <w:vAlign w:val="center"/>
          </w:tcPr>
          <w:p>
            <w:pPr>
              <w:jc w:val="left"/>
            </w:pPr>
            <w:r>
              <w:drawing>
                <wp:inline distT="0" distB="0" distL="114300" distR="114300">
                  <wp:extent cx="228600" cy="114300"/>
                  <wp:effectExtent l="0" t="0" r="0" b="0"/>
                  <wp:docPr id="6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4"/>
                          <pic:cNvPicPr>
                            <a:picLocks noChangeAspect="1"/>
                          </pic:cNvPicPr>
                        </pic:nvPicPr>
                        <pic:blipFill>
                          <a:blip r:embed="rId47"/>
                          <a:stretch>
                            <a:fillRect/>
                          </a:stretch>
                        </pic:blipFill>
                        <pic:spPr>
                          <a:xfrm>
                            <a:off x="0" y="0"/>
                            <a:ext cx="228600" cy="114300"/>
                          </a:xfrm>
                          <a:prstGeom prst="rect">
                            <a:avLst/>
                          </a:prstGeom>
                          <a:noFill/>
                          <a:ln>
                            <a:noFill/>
                          </a:ln>
                        </pic:spPr>
                      </pic:pic>
                    </a:graphicData>
                  </a:graphic>
                </wp:inline>
              </w:drawing>
            </w:r>
            <w:r>
              <w:drawing>
                <wp:inline distT="0" distB="0" distL="114300" distR="114300">
                  <wp:extent cx="1123950" cy="114300"/>
                  <wp:effectExtent l="0" t="0" r="6350" b="0"/>
                  <wp:docPr id="7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5"/>
                          <pic:cNvPicPr>
                            <a:picLocks noChangeAspect="1"/>
                          </pic:cNvPicPr>
                        </pic:nvPicPr>
                        <pic:blipFill>
                          <a:blip r:embed="rId48"/>
                          <a:stretch>
                            <a:fillRect/>
                          </a:stretch>
                        </pic:blipFill>
                        <pic:spPr>
                          <a:xfrm>
                            <a:off x="0" y="0"/>
                            <a:ext cx="1123950" cy="114300"/>
                          </a:xfrm>
                          <a:prstGeom prst="rect">
                            <a:avLst/>
                          </a:prstGeom>
                          <a:noFill/>
                          <a:ln>
                            <a:noFill/>
                          </a:ln>
                        </pic:spPr>
                      </pic:pic>
                    </a:graphicData>
                  </a:graphic>
                </wp:inline>
              </w:drawing>
            </w:r>
            <w:r>
              <w:t>17%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65" w:type="dxa"/>
            <w:shd w:val="clear" w:color="auto" w:fill="F9F9F9"/>
            <w:vAlign w:val="center"/>
          </w:tcPr>
          <w:p>
            <w:pPr>
              <w:jc w:val="left"/>
            </w:pPr>
            <w:r>
              <w:t>不满意</w:t>
            </w:r>
          </w:p>
        </w:tc>
        <w:tc>
          <w:tcPr>
            <w:tcW w:w="1028" w:type="dxa"/>
            <w:shd w:val="clear" w:color="auto" w:fill="F9F9F9"/>
            <w:vAlign w:val="center"/>
          </w:tcPr>
          <w:p>
            <w:pPr>
              <w:jc w:val="center"/>
            </w:pPr>
            <w:r>
              <w:t>2</w:t>
            </w:r>
          </w:p>
        </w:tc>
        <w:tc>
          <w:tcPr>
            <w:tcW w:w="4429" w:type="dxa"/>
            <w:shd w:val="clear" w:color="auto" w:fill="F9F9F9"/>
            <w:vAlign w:val="center"/>
          </w:tcPr>
          <w:p>
            <w:pPr>
              <w:jc w:val="left"/>
            </w:pPr>
            <w:r>
              <w:drawing>
                <wp:inline distT="0" distB="0" distL="114300" distR="114300">
                  <wp:extent cx="19050" cy="114300"/>
                  <wp:effectExtent l="0" t="0" r="6350" b="0"/>
                  <wp:docPr id="7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6"/>
                          <pic:cNvPicPr>
                            <a:picLocks noChangeAspect="1"/>
                          </pic:cNvPicPr>
                        </pic:nvPicPr>
                        <pic:blipFill>
                          <a:blip r:embed="rId49"/>
                          <a:stretch>
                            <a:fillRect/>
                          </a:stretch>
                        </pic:blipFill>
                        <pic:spPr>
                          <a:xfrm>
                            <a:off x="0" y="0"/>
                            <a:ext cx="19050" cy="114300"/>
                          </a:xfrm>
                          <a:prstGeom prst="rect">
                            <a:avLst/>
                          </a:prstGeom>
                          <a:noFill/>
                          <a:ln>
                            <a:noFill/>
                          </a:ln>
                        </pic:spPr>
                      </pic:pic>
                    </a:graphicData>
                  </a:graphic>
                </wp:inline>
              </w:drawing>
            </w:r>
            <w:r>
              <w:drawing>
                <wp:inline distT="0" distB="0" distL="114300" distR="114300">
                  <wp:extent cx="1333500" cy="114300"/>
                  <wp:effectExtent l="0" t="0" r="0" b="0"/>
                  <wp:docPr id="6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7"/>
                          <pic:cNvPicPr>
                            <a:picLocks noChangeAspect="1"/>
                          </pic:cNvPicPr>
                        </pic:nvPicPr>
                        <pic:blipFill>
                          <a:blip r:embed="rId50"/>
                          <a:stretch>
                            <a:fillRect/>
                          </a:stretch>
                        </pic:blipFill>
                        <pic:spPr>
                          <a:xfrm>
                            <a:off x="0" y="0"/>
                            <a:ext cx="1333500" cy="114300"/>
                          </a:xfrm>
                          <a:prstGeom prst="rect">
                            <a:avLst/>
                          </a:prstGeom>
                          <a:noFill/>
                          <a:ln>
                            <a:noFill/>
                          </a:ln>
                        </pic:spPr>
                      </pic:pic>
                    </a:graphicData>
                  </a:graphic>
                </wp:inline>
              </w:drawing>
            </w:r>
            <w:r>
              <w:t>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65" w:type="dxa"/>
            <w:shd w:val="clear" w:color="auto" w:fill="FFFFFF"/>
            <w:vAlign w:val="center"/>
          </w:tcPr>
          <w:p>
            <w:pPr>
              <w:jc w:val="left"/>
            </w:pPr>
            <w:r>
              <w:t>非常不满意</w:t>
            </w:r>
          </w:p>
        </w:tc>
        <w:tc>
          <w:tcPr>
            <w:tcW w:w="1028" w:type="dxa"/>
            <w:shd w:val="clear" w:color="auto" w:fill="FFFFFF"/>
            <w:vAlign w:val="center"/>
          </w:tcPr>
          <w:p>
            <w:pPr>
              <w:jc w:val="center"/>
            </w:pPr>
            <w:r>
              <w:t>0</w:t>
            </w:r>
          </w:p>
        </w:tc>
        <w:tc>
          <w:tcPr>
            <w:tcW w:w="4429" w:type="dxa"/>
            <w:shd w:val="clear" w:color="auto" w:fill="FFFFFF"/>
            <w:vAlign w:val="center"/>
          </w:tcPr>
          <w:p>
            <w:pPr>
              <w:jc w:val="left"/>
            </w:pPr>
            <w:r>
              <w:drawing>
                <wp:inline distT="0" distB="0" distL="114300" distR="114300">
                  <wp:extent cx="1352550" cy="114300"/>
                  <wp:effectExtent l="0" t="0" r="6350" b="0"/>
                  <wp:docPr id="6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8"/>
                          <pic:cNvPicPr>
                            <a:picLocks noChangeAspect="1"/>
                          </pic:cNvPicPr>
                        </pic:nvPicPr>
                        <pic:blipFill>
                          <a:blip r:embed="rId34"/>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65" w:type="dxa"/>
            <w:shd w:val="clear" w:color="auto" w:fill="E0E0E0"/>
            <w:vAlign w:val="center"/>
          </w:tcPr>
          <w:p>
            <w:pPr>
              <w:jc w:val="left"/>
            </w:pPr>
            <w:r>
              <w:t>本题有效填写人次</w:t>
            </w:r>
          </w:p>
        </w:tc>
        <w:tc>
          <w:tcPr>
            <w:tcW w:w="1028" w:type="dxa"/>
            <w:shd w:val="clear" w:color="auto" w:fill="E0E0E0"/>
            <w:vAlign w:val="center"/>
          </w:tcPr>
          <w:p>
            <w:pPr>
              <w:jc w:val="center"/>
            </w:pPr>
            <w:r>
              <w:t>100</w:t>
            </w:r>
          </w:p>
        </w:tc>
        <w:tc>
          <w:tcPr>
            <w:tcW w:w="4429" w:type="dxa"/>
            <w:shd w:val="clear" w:color="auto" w:fill="E0E0E0"/>
            <w:vAlign w:val="center"/>
          </w:tcPr>
          <w:p>
            <w:pPr>
              <w:jc w:val="left"/>
            </w:pPr>
          </w:p>
        </w:tc>
      </w:tr>
    </w:tbl>
    <w:p>
      <w:pPr>
        <w:pStyle w:val="2"/>
      </w:pPr>
    </w:p>
    <w:p>
      <w:pPr>
        <w:spacing w:line="560" w:lineRule="exact"/>
        <w:ind w:firstLine="560" w:firstLineChars="200"/>
        <w:rPr>
          <w:rFonts w:hint="default" w:ascii="仿宋" w:hAnsi="仿宋" w:eastAsia="仿宋" w:cs="仿宋"/>
          <w:bCs/>
          <w:sz w:val="28"/>
          <w:szCs w:val="28"/>
          <w:lang w:val="en-US" w:eastAsia="zh-CN" w:bidi="ar"/>
        </w:rPr>
      </w:pPr>
      <w:r>
        <w:rPr>
          <w:rFonts w:hint="eastAsia" w:ascii="仿宋" w:hAnsi="仿宋" w:eastAsia="仿宋" w:cs="仿宋"/>
          <w:bCs/>
          <w:sz w:val="28"/>
          <w:szCs w:val="28"/>
          <w:lang w:val="en-US" w:eastAsia="zh-CN" w:bidi="ar"/>
        </w:rPr>
        <w:t>结果分析：本次共发放100份问卷，收回100份。42%的公卫工作人员对</w:t>
      </w:r>
      <w:r>
        <w:rPr>
          <w:rFonts w:hint="eastAsia" w:ascii="仿宋" w:hAnsi="仿宋" w:eastAsia="仿宋" w:cs="仿宋"/>
          <w:bCs/>
          <w:sz w:val="28"/>
          <w:szCs w:val="28"/>
          <w:lang w:val="zh-TW" w:eastAsia="zh-CN" w:bidi="ar"/>
        </w:rPr>
        <w:t>基本公共卫生目前的运行模式非常满意，</w:t>
      </w:r>
      <w:r>
        <w:rPr>
          <w:rFonts w:hint="eastAsia" w:ascii="仿宋" w:hAnsi="仿宋" w:eastAsia="仿宋" w:cs="仿宋"/>
          <w:bCs/>
          <w:sz w:val="28"/>
          <w:szCs w:val="28"/>
          <w:lang w:val="en-US" w:eastAsia="zh-CN" w:bidi="ar"/>
        </w:rPr>
        <w:t>有39%的</w:t>
      </w:r>
      <w:r>
        <w:rPr>
          <w:rFonts w:hint="eastAsia" w:ascii="仿宋" w:hAnsi="仿宋" w:eastAsia="仿宋" w:cs="仿宋"/>
          <w:bCs/>
          <w:sz w:val="28"/>
          <w:szCs w:val="28"/>
          <w:lang w:val="zh-TW" w:eastAsia="zh-CN" w:bidi="ar"/>
        </w:rPr>
        <w:t>公卫工作人员</w:t>
      </w:r>
      <w:r>
        <w:rPr>
          <w:rFonts w:hint="eastAsia" w:ascii="仿宋" w:hAnsi="仿宋" w:eastAsia="仿宋" w:cs="仿宋"/>
          <w:bCs/>
          <w:sz w:val="28"/>
          <w:szCs w:val="28"/>
          <w:lang w:val="en-US" w:eastAsia="zh-CN" w:bidi="ar"/>
        </w:rPr>
        <w:t>对</w:t>
      </w:r>
      <w:r>
        <w:rPr>
          <w:rFonts w:hint="eastAsia" w:ascii="仿宋" w:hAnsi="仿宋" w:eastAsia="仿宋" w:cs="仿宋"/>
          <w:bCs/>
          <w:sz w:val="28"/>
          <w:szCs w:val="28"/>
          <w:lang w:val="zh-TW" w:eastAsia="zh-CN" w:bidi="ar"/>
        </w:rPr>
        <w:t>基本公共卫生目前的运行模式</w:t>
      </w:r>
      <w:r>
        <w:rPr>
          <w:rFonts w:hint="eastAsia" w:ascii="仿宋" w:hAnsi="仿宋" w:eastAsia="仿宋" w:cs="仿宋"/>
          <w:bCs/>
          <w:sz w:val="28"/>
          <w:szCs w:val="28"/>
          <w:lang w:val="en-US" w:eastAsia="zh-CN" w:bidi="ar"/>
        </w:rPr>
        <w:t>比较</w:t>
      </w:r>
      <w:r>
        <w:rPr>
          <w:rFonts w:hint="eastAsia" w:ascii="仿宋" w:hAnsi="仿宋" w:eastAsia="仿宋" w:cs="仿宋"/>
          <w:bCs/>
          <w:sz w:val="28"/>
          <w:szCs w:val="28"/>
          <w:lang w:val="zh-TW" w:eastAsia="zh-CN" w:bidi="ar"/>
        </w:rPr>
        <w:t>满意，说明</w:t>
      </w:r>
      <w:r>
        <w:rPr>
          <w:rFonts w:hint="eastAsia" w:ascii="仿宋" w:hAnsi="仿宋" w:eastAsia="仿宋" w:cs="仿宋"/>
          <w:bCs/>
          <w:sz w:val="28"/>
          <w:szCs w:val="28"/>
          <w:lang w:val="en-US" w:eastAsia="zh-CN" w:bidi="ar"/>
        </w:rPr>
        <w:t>临猗县基本公卫工作运行模式比较规范。</w:t>
      </w:r>
    </w:p>
    <w:p>
      <w:pPr>
        <w:spacing w:line="560" w:lineRule="exact"/>
        <w:ind w:firstLine="560" w:firstLineChars="200"/>
        <w:rPr>
          <w:rFonts w:hint="eastAsia" w:ascii="仿宋" w:hAnsi="仿宋" w:eastAsia="仿宋" w:cs="仿宋"/>
          <w:bCs/>
          <w:sz w:val="28"/>
          <w:szCs w:val="28"/>
          <w:lang w:val="zh-TW" w:eastAsia="zh-CN" w:bidi="ar"/>
        </w:rPr>
      </w:pPr>
      <w:r>
        <w:rPr>
          <w:rFonts w:hint="eastAsia" w:ascii="仿宋" w:hAnsi="仿宋" w:eastAsia="仿宋" w:cs="仿宋"/>
          <w:bCs/>
          <w:sz w:val="28"/>
          <w:szCs w:val="28"/>
          <w:lang w:val="zh-TW" w:eastAsia="zh-CN" w:bidi="ar"/>
        </w:rPr>
        <w:t>4.您对基本公共卫生医疗人员待遇是否满意?   [单选题]</w:t>
      </w:r>
    </w:p>
    <w:tbl>
      <w:tblPr>
        <w:tblStyle w:val="14"/>
        <w:tblW w:w="8522" w:type="dxa"/>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3065"/>
        <w:gridCol w:w="1028"/>
        <w:gridCol w:w="442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65" w:type="dxa"/>
            <w:shd w:val="clear" w:color="auto" w:fill="E0E0E0"/>
            <w:vAlign w:val="center"/>
          </w:tcPr>
          <w:p>
            <w:pPr>
              <w:jc w:val="center"/>
            </w:pPr>
            <w:r>
              <w:t>选项</w:t>
            </w:r>
          </w:p>
        </w:tc>
        <w:tc>
          <w:tcPr>
            <w:tcW w:w="1028" w:type="dxa"/>
            <w:shd w:val="clear" w:color="auto" w:fill="E0E0E0"/>
            <w:vAlign w:val="center"/>
          </w:tcPr>
          <w:p>
            <w:pPr>
              <w:jc w:val="center"/>
            </w:pPr>
            <w:r>
              <w:t>小计</w:t>
            </w:r>
          </w:p>
        </w:tc>
        <w:tc>
          <w:tcPr>
            <w:tcW w:w="4429" w:type="dxa"/>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65" w:type="dxa"/>
            <w:shd w:val="clear" w:color="auto" w:fill="FFFFFF"/>
            <w:vAlign w:val="center"/>
          </w:tcPr>
          <w:p>
            <w:pPr>
              <w:jc w:val="left"/>
            </w:pPr>
            <w:r>
              <w:t>非常满意</w:t>
            </w:r>
          </w:p>
        </w:tc>
        <w:tc>
          <w:tcPr>
            <w:tcW w:w="1028" w:type="dxa"/>
            <w:shd w:val="clear" w:color="auto" w:fill="FFFFFF"/>
            <w:vAlign w:val="center"/>
          </w:tcPr>
          <w:p>
            <w:pPr>
              <w:jc w:val="center"/>
            </w:pPr>
            <w:r>
              <w:t>32</w:t>
            </w:r>
          </w:p>
        </w:tc>
        <w:tc>
          <w:tcPr>
            <w:tcW w:w="4429" w:type="dxa"/>
            <w:shd w:val="clear" w:color="auto" w:fill="FFFFFF"/>
            <w:vAlign w:val="center"/>
          </w:tcPr>
          <w:p>
            <w:pPr>
              <w:jc w:val="left"/>
            </w:pPr>
            <w:r>
              <w:drawing>
                <wp:inline distT="0" distB="0" distL="114300" distR="114300">
                  <wp:extent cx="428625" cy="114300"/>
                  <wp:effectExtent l="0" t="0" r="3175" b="0"/>
                  <wp:docPr id="9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9"/>
                          <pic:cNvPicPr>
                            <a:picLocks noChangeAspect="1"/>
                          </pic:cNvPicPr>
                        </pic:nvPicPr>
                        <pic:blipFill>
                          <a:blip r:embed="rId51"/>
                          <a:stretch>
                            <a:fillRect/>
                          </a:stretch>
                        </pic:blipFill>
                        <pic:spPr>
                          <a:xfrm>
                            <a:off x="0" y="0"/>
                            <a:ext cx="428625" cy="114300"/>
                          </a:xfrm>
                          <a:prstGeom prst="rect">
                            <a:avLst/>
                          </a:prstGeom>
                          <a:noFill/>
                          <a:ln>
                            <a:noFill/>
                          </a:ln>
                        </pic:spPr>
                      </pic:pic>
                    </a:graphicData>
                  </a:graphic>
                </wp:inline>
              </w:drawing>
            </w:r>
            <w:r>
              <w:drawing>
                <wp:inline distT="0" distB="0" distL="114300" distR="114300">
                  <wp:extent cx="923925" cy="114300"/>
                  <wp:effectExtent l="0" t="0" r="3175" b="0"/>
                  <wp:docPr id="7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0"/>
                          <pic:cNvPicPr>
                            <a:picLocks noChangeAspect="1"/>
                          </pic:cNvPicPr>
                        </pic:nvPicPr>
                        <pic:blipFill>
                          <a:blip r:embed="rId52"/>
                          <a:stretch>
                            <a:fillRect/>
                          </a:stretch>
                        </pic:blipFill>
                        <pic:spPr>
                          <a:xfrm>
                            <a:off x="0" y="0"/>
                            <a:ext cx="923925" cy="114300"/>
                          </a:xfrm>
                          <a:prstGeom prst="rect">
                            <a:avLst/>
                          </a:prstGeom>
                          <a:noFill/>
                          <a:ln>
                            <a:noFill/>
                          </a:ln>
                        </pic:spPr>
                      </pic:pic>
                    </a:graphicData>
                  </a:graphic>
                </wp:inline>
              </w:drawing>
            </w:r>
            <w:r>
              <w:t>32%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65" w:type="dxa"/>
            <w:shd w:val="clear" w:color="auto" w:fill="F9F9F9"/>
            <w:vAlign w:val="center"/>
          </w:tcPr>
          <w:p>
            <w:pPr>
              <w:jc w:val="left"/>
            </w:pPr>
            <w:r>
              <w:t>比较满意</w:t>
            </w:r>
          </w:p>
        </w:tc>
        <w:tc>
          <w:tcPr>
            <w:tcW w:w="1028" w:type="dxa"/>
            <w:shd w:val="clear" w:color="auto" w:fill="F9F9F9"/>
            <w:vAlign w:val="center"/>
          </w:tcPr>
          <w:p>
            <w:pPr>
              <w:jc w:val="center"/>
            </w:pPr>
            <w:r>
              <w:t>36</w:t>
            </w:r>
          </w:p>
        </w:tc>
        <w:tc>
          <w:tcPr>
            <w:tcW w:w="4429" w:type="dxa"/>
            <w:shd w:val="clear" w:color="auto" w:fill="F9F9F9"/>
            <w:vAlign w:val="center"/>
          </w:tcPr>
          <w:p>
            <w:pPr>
              <w:jc w:val="left"/>
            </w:pPr>
            <w:r>
              <w:drawing>
                <wp:inline distT="0" distB="0" distL="114300" distR="114300">
                  <wp:extent cx="485775" cy="114300"/>
                  <wp:effectExtent l="0" t="0" r="9525" b="0"/>
                  <wp:docPr id="7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1"/>
                          <pic:cNvPicPr>
                            <a:picLocks noChangeAspect="1"/>
                          </pic:cNvPicPr>
                        </pic:nvPicPr>
                        <pic:blipFill>
                          <a:blip r:embed="rId53"/>
                          <a:stretch>
                            <a:fillRect/>
                          </a:stretch>
                        </pic:blipFill>
                        <pic:spPr>
                          <a:xfrm>
                            <a:off x="0" y="0"/>
                            <a:ext cx="485775" cy="114300"/>
                          </a:xfrm>
                          <a:prstGeom prst="rect">
                            <a:avLst/>
                          </a:prstGeom>
                          <a:noFill/>
                          <a:ln>
                            <a:noFill/>
                          </a:ln>
                        </pic:spPr>
                      </pic:pic>
                    </a:graphicData>
                  </a:graphic>
                </wp:inline>
              </w:drawing>
            </w:r>
            <w:r>
              <w:drawing>
                <wp:inline distT="0" distB="0" distL="114300" distR="114300">
                  <wp:extent cx="866775" cy="114300"/>
                  <wp:effectExtent l="0" t="0" r="9525" b="0"/>
                  <wp:docPr id="9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2"/>
                          <pic:cNvPicPr>
                            <a:picLocks noChangeAspect="1"/>
                          </pic:cNvPicPr>
                        </pic:nvPicPr>
                        <pic:blipFill>
                          <a:blip r:embed="rId54"/>
                          <a:stretch>
                            <a:fillRect/>
                          </a:stretch>
                        </pic:blipFill>
                        <pic:spPr>
                          <a:xfrm>
                            <a:off x="0" y="0"/>
                            <a:ext cx="866775" cy="114300"/>
                          </a:xfrm>
                          <a:prstGeom prst="rect">
                            <a:avLst/>
                          </a:prstGeom>
                          <a:noFill/>
                          <a:ln>
                            <a:noFill/>
                          </a:ln>
                        </pic:spPr>
                      </pic:pic>
                    </a:graphicData>
                  </a:graphic>
                </wp:inline>
              </w:drawing>
            </w:r>
            <w:r>
              <w:t>36%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65" w:type="dxa"/>
            <w:shd w:val="clear" w:color="auto" w:fill="FFFFFF"/>
            <w:vAlign w:val="center"/>
          </w:tcPr>
          <w:p>
            <w:pPr>
              <w:jc w:val="left"/>
            </w:pPr>
            <w:r>
              <w:t>基本满意</w:t>
            </w:r>
          </w:p>
        </w:tc>
        <w:tc>
          <w:tcPr>
            <w:tcW w:w="1028" w:type="dxa"/>
            <w:shd w:val="clear" w:color="auto" w:fill="FFFFFF"/>
            <w:vAlign w:val="center"/>
          </w:tcPr>
          <w:p>
            <w:pPr>
              <w:jc w:val="center"/>
            </w:pPr>
            <w:r>
              <w:t>22</w:t>
            </w:r>
          </w:p>
        </w:tc>
        <w:tc>
          <w:tcPr>
            <w:tcW w:w="4429" w:type="dxa"/>
            <w:shd w:val="clear" w:color="auto" w:fill="FFFFFF"/>
            <w:vAlign w:val="center"/>
          </w:tcPr>
          <w:p>
            <w:pPr>
              <w:jc w:val="left"/>
            </w:pPr>
            <w:r>
              <w:drawing>
                <wp:inline distT="0" distB="0" distL="114300" distR="114300">
                  <wp:extent cx="295275" cy="114300"/>
                  <wp:effectExtent l="0" t="0" r="9525" b="0"/>
                  <wp:docPr id="7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3"/>
                          <pic:cNvPicPr>
                            <a:picLocks noChangeAspect="1"/>
                          </pic:cNvPicPr>
                        </pic:nvPicPr>
                        <pic:blipFill>
                          <a:blip r:embed="rId55"/>
                          <a:stretch>
                            <a:fillRect/>
                          </a:stretch>
                        </pic:blipFill>
                        <pic:spPr>
                          <a:xfrm>
                            <a:off x="0" y="0"/>
                            <a:ext cx="295275" cy="114300"/>
                          </a:xfrm>
                          <a:prstGeom prst="rect">
                            <a:avLst/>
                          </a:prstGeom>
                          <a:noFill/>
                          <a:ln>
                            <a:noFill/>
                          </a:ln>
                        </pic:spPr>
                      </pic:pic>
                    </a:graphicData>
                  </a:graphic>
                </wp:inline>
              </w:drawing>
            </w:r>
            <w:r>
              <w:drawing>
                <wp:inline distT="0" distB="0" distL="114300" distR="114300">
                  <wp:extent cx="1057275" cy="114300"/>
                  <wp:effectExtent l="0" t="0" r="9525" b="0"/>
                  <wp:docPr id="8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4"/>
                          <pic:cNvPicPr>
                            <a:picLocks noChangeAspect="1"/>
                          </pic:cNvPicPr>
                        </pic:nvPicPr>
                        <pic:blipFill>
                          <a:blip r:embed="rId56"/>
                          <a:stretch>
                            <a:fillRect/>
                          </a:stretch>
                        </pic:blipFill>
                        <pic:spPr>
                          <a:xfrm>
                            <a:off x="0" y="0"/>
                            <a:ext cx="1057275" cy="114300"/>
                          </a:xfrm>
                          <a:prstGeom prst="rect">
                            <a:avLst/>
                          </a:prstGeom>
                          <a:noFill/>
                          <a:ln>
                            <a:noFill/>
                          </a:ln>
                        </pic:spPr>
                      </pic:pic>
                    </a:graphicData>
                  </a:graphic>
                </wp:inline>
              </w:drawing>
            </w:r>
            <w:r>
              <w:t>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65" w:type="dxa"/>
            <w:shd w:val="clear" w:color="auto" w:fill="F9F9F9"/>
            <w:vAlign w:val="center"/>
          </w:tcPr>
          <w:p>
            <w:pPr>
              <w:jc w:val="left"/>
            </w:pPr>
            <w:r>
              <w:t>不满意</w:t>
            </w:r>
          </w:p>
        </w:tc>
        <w:tc>
          <w:tcPr>
            <w:tcW w:w="1028" w:type="dxa"/>
            <w:shd w:val="clear" w:color="auto" w:fill="F9F9F9"/>
            <w:vAlign w:val="center"/>
          </w:tcPr>
          <w:p>
            <w:pPr>
              <w:jc w:val="center"/>
            </w:pPr>
            <w:r>
              <w:t>8</w:t>
            </w:r>
          </w:p>
        </w:tc>
        <w:tc>
          <w:tcPr>
            <w:tcW w:w="4429" w:type="dxa"/>
            <w:shd w:val="clear" w:color="auto" w:fill="F9F9F9"/>
            <w:vAlign w:val="center"/>
          </w:tcPr>
          <w:p>
            <w:pPr>
              <w:jc w:val="left"/>
            </w:pPr>
            <w:r>
              <w:drawing>
                <wp:inline distT="0" distB="0" distL="114300" distR="114300">
                  <wp:extent cx="104775" cy="114300"/>
                  <wp:effectExtent l="0" t="0" r="9525" b="0"/>
                  <wp:docPr id="9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5"/>
                          <pic:cNvPicPr>
                            <a:picLocks noChangeAspect="1"/>
                          </pic:cNvPicPr>
                        </pic:nvPicPr>
                        <pic:blipFill>
                          <a:blip r:embed="rId30"/>
                          <a:stretch>
                            <a:fillRect/>
                          </a:stretch>
                        </pic:blipFill>
                        <pic:spPr>
                          <a:xfrm>
                            <a:off x="0" y="0"/>
                            <a:ext cx="104775" cy="114300"/>
                          </a:xfrm>
                          <a:prstGeom prst="rect">
                            <a:avLst/>
                          </a:prstGeom>
                          <a:noFill/>
                          <a:ln>
                            <a:noFill/>
                          </a:ln>
                        </pic:spPr>
                      </pic:pic>
                    </a:graphicData>
                  </a:graphic>
                </wp:inline>
              </w:drawing>
            </w:r>
            <w:r>
              <w:drawing>
                <wp:inline distT="0" distB="0" distL="114300" distR="114300">
                  <wp:extent cx="1247775" cy="114300"/>
                  <wp:effectExtent l="0" t="0" r="9525" b="0"/>
                  <wp:docPr id="7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6"/>
                          <pic:cNvPicPr>
                            <a:picLocks noChangeAspect="1"/>
                          </pic:cNvPicPr>
                        </pic:nvPicPr>
                        <pic:blipFill>
                          <a:blip r:embed="rId31"/>
                          <a:stretch>
                            <a:fillRect/>
                          </a:stretch>
                        </pic:blipFill>
                        <pic:spPr>
                          <a:xfrm>
                            <a:off x="0" y="0"/>
                            <a:ext cx="1247775" cy="114300"/>
                          </a:xfrm>
                          <a:prstGeom prst="rect">
                            <a:avLst/>
                          </a:prstGeom>
                          <a:noFill/>
                          <a:ln>
                            <a:noFill/>
                          </a:ln>
                        </pic:spPr>
                      </pic:pic>
                    </a:graphicData>
                  </a:graphic>
                </wp:inline>
              </w:drawing>
            </w:r>
            <w:r>
              <w:t>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65" w:type="dxa"/>
            <w:shd w:val="clear" w:color="auto" w:fill="FFFFFF"/>
            <w:vAlign w:val="center"/>
          </w:tcPr>
          <w:p>
            <w:pPr>
              <w:jc w:val="left"/>
            </w:pPr>
            <w:r>
              <w:t>非常不满意</w:t>
            </w:r>
          </w:p>
        </w:tc>
        <w:tc>
          <w:tcPr>
            <w:tcW w:w="1028" w:type="dxa"/>
            <w:shd w:val="clear" w:color="auto" w:fill="FFFFFF"/>
            <w:vAlign w:val="center"/>
          </w:tcPr>
          <w:p>
            <w:pPr>
              <w:jc w:val="center"/>
            </w:pPr>
            <w:r>
              <w:t>2</w:t>
            </w:r>
          </w:p>
        </w:tc>
        <w:tc>
          <w:tcPr>
            <w:tcW w:w="4429" w:type="dxa"/>
            <w:shd w:val="clear" w:color="auto" w:fill="FFFFFF"/>
            <w:vAlign w:val="center"/>
          </w:tcPr>
          <w:p>
            <w:pPr>
              <w:jc w:val="left"/>
            </w:pPr>
            <w:r>
              <w:drawing>
                <wp:inline distT="0" distB="0" distL="114300" distR="114300">
                  <wp:extent cx="19050" cy="114300"/>
                  <wp:effectExtent l="0" t="0" r="6350" b="0"/>
                  <wp:docPr id="7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7"/>
                          <pic:cNvPicPr>
                            <a:picLocks noChangeAspect="1"/>
                          </pic:cNvPicPr>
                        </pic:nvPicPr>
                        <pic:blipFill>
                          <a:blip r:embed="rId49"/>
                          <a:stretch>
                            <a:fillRect/>
                          </a:stretch>
                        </pic:blipFill>
                        <pic:spPr>
                          <a:xfrm>
                            <a:off x="0" y="0"/>
                            <a:ext cx="19050" cy="114300"/>
                          </a:xfrm>
                          <a:prstGeom prst="rect">
                            <a:avLst/>
                          </a:prstGeom>
                          <a:noFill/>
                          <a:ln>
                            <a:noFill/>
                          </a:ln>
                        </pic:spPr>
                      </pic:pic>
                    </a:graphicData>
                  </a:graphic>
                </wp:inline>
              </w:drawing>
            </w:r>
            <w:r>
              <w:drawing>
                <wp:inline distT="0" distB="0" distL="114300" distR="114300">
                  <wp:extent cx="1333500" cy="114300"/>
                  <wp:effectExtent l="0" t="0" r="0" b="0"/>
                  <wp:docPr id="7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8"/>
                          <pic:cNvPicPr>
                            <a:picLocks noChangeAspect="1"/>
                          </pic:cNvPicPr>
                        </pic:nvPicPr>
                        <pic:blipFill>
                          <a:blip r:embed="rId50"/>
                          <a:stretch>
                            <a:fillRect/>
                          </a:stretch>
                        </pic:blipFill>
                        <pic:spPr>
                          <a:xfrm>
                            <a:off x="0" y="0"/>
                            <a:ext cx="1333500" cy="114300"/>
                          </a:xfrm>
                          <a:prstGeom prst="rect">
                            <a:avLst/>
                          </a:prstGeom>
                          <a:noFill/>
                          <a:ln>
                            <a:noFill/>
                          </a:ln>
                        </pic:spPr>
                      </pic:pic>
                    </a:graphicData>
                  </a:graphic>
                </wp:inline>
              </w:drawing>
            </w:r>
            <w:r>
              <w:t>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65" w:type="dxa"/>
            <w:shd w:val="clear" w:color="auto" w:fill="E0E0E0"/>
            <w:vAlign w:val="center"/>
          </w:tcPr>
          <w:p>
            <w:pPr>
              <w:jc w:val="left"/>
            </w:pPr>
            <w:r>
              <w:t>本题有效填写人次</w:t>
            </w:r>
          </w:p>
        </w:tc>
        <w:tc>
          <w:tcPr>
            <w:tcW w:w="1028" w:type="dxa"/>
            <w:shd w:val="clear" w:color="auto" w:fill="E0E0E0"/>
            <w:vAlign w:val="center"/>
          </w:tcPr>
          <w:p>
            <w:pPr>
              <w:jc w:val="center"/>
            </w:pPr>
            <w:r>
              <w:t>100</w:t>
            </w:r>
          </w:p>
        </w:tc>
        <w:tc>
          <w:tcPr>
            <w:tcW w:w="4429" w:type="dxa"/>
            <w:shd w:val="clear" w:color="auto" w:fill="E0E0E0"/>
            <w:vAlign w:val="center"/>
          </w:tcPr>
          <w:p>
            <w:pPr>
              <w:jc w:val="left"/>
            </w:pPr>
          </w:p>
        </w:tc>
      </w:tr>
    </w:tbl>
    <w:p>
      <w:pPr>
        <w:spacing w:line="560" w:lineRule="exact"/>
        <w:ind w:firstLine="560" w:firstLineChars="200"/>
        <w:rPr>
          <w:rFonts w:hint="eastAsia" w:ascii="仿宋" w:hAnsi="仿宋" w:eastAsia="仿宋" w:cs="仿宋"/>
          <w:bCs/>
          <w:sz w:val="28"/>
          <w:szCs w:val="28"/>
          <w:lang w:val="zh-TW" w:eastAsia="zh-CN" w:bidi="ar"/>
        </w:rPr>
      </w:pPr>
    </w:p>
    <w:p>
      <w:pPr>
        <w:spacing w:line="560" w:lineRule="exact"/>
        <w:ind w:firstLine="560" w:firstLineChars="200"/>
        <w:rPr>
          <w:rFonts w:hint="default" w:ascii="仿宋" w:hAnsi="仿宋" w:eastAsia="仿宋" w:cs="仿宋"/>
          <w:bCs/>
          <w:sz w:val="28"/>
          <w:szCs w:val="28"/>
          <w:lang w:val="en-US" w:eastAsia="zh-CN" w:bidi="ar"/>
        </w:rPr>
      </w:pPr>
      <w:r>
        <w:rPr>
          <w:rFonts w:hint="eastAsia" w:ascii="仿宋" w:hAnsi="仿宋" w:eastAsia="仿宋" w:cs="仿宋"/>
          <w:bCs/>
          <w:sz w:val="28"/>
          <w:szCs w:val="28"/>
          <w:lang w:val="en-US" w:eastAsia="zh-CN" w:bidi="ar"/>
        </w:rPr>
        <w:t>结果分析：本次共发放100份问卷，收回100份。32%的公卫工作人员对</w:t>
      </w:r>
      <w:r>
        <w:rPr>
          <w:rFonts w:hint="eastAsia" w:ascii="仿宋" w:hAnsi="仿宋" w:eastAsia="仿宋" w:cs="仿宋"/>
          <w:bCs/>
          <w:sz w:val="28"/>
          <w:szCs w:val="28"/>
          <w:lang w:val="zh-TW" w:eastAsia="zh-CN" w:bidi="ar"/>
        </w:rPr>
        <w:t>基本公共卫生医疗人员待遇非常满意，</w:t>
      </w:r>
      <w:r>
        <w:rPr>
          <w:rFonts w:hint="eastAsia" w:ascii="仿宋" w:hAnsi="仿宋" w:eastAsia="仿宋" w:cs="仿宋"/>
          <w:bCs/>
          <w:sz w:val="28"/>
          <w:szCs w:val="28"/>
          <w:lang w:val="en-US" w:eastAsia="zh-CN" w:bidi="ar"/>
        </w:rPr>
        <w:t>36%的人员比较</w:t>
      </w:r>
      <w:r>
        <w:rPr>
          <w:rFonts w:hint="eastAsia" w:ascii="仿宋" w:hAnsi="仿宋" w:eastAsia="仿宋" w:cs="仿宋"/>
          <w:bCs/>
          <w:sz w:val="28"/>
          <w:szCs w:val="28"/>
          <w:lang w:val="zh-TW" w:eastAsia="zh-CN" w:bidi="ar"/>
        </w:rPr>
        <w:t>满意，</w:t>
      </w:r>
      <w:r>
        <w:rPr>
          <w:rFonts w:hint="eastAsia" w:ascii="仿宋" w:hAnsi="仿宋" w:eastAsia="仿宋" w:cs="仿宋"/>
          <w:bCs/>
          <w:sz w:val="28"/>
          <w:szCs w:val="28"/>
          <w:lang w:val="en-US" w:eastAsia="zh-CN" w:bidi="ar"/>
        </w:rPr>
        <w:t>22%的人基本满意，有10%的医疗人员对工作待遇不满意，</w:t>
      </w:r>
      <w:r>
        <w:rPr>
          <w:rFonts w:hint="eastAsia" w:ascii="仿宋" w:hAnsi="仿宋" w:eastAsia="仿宋" w:cs="仿宋"/>
          <w:bCs/>
          <w:sz w:val="28"/>
          <w:szCs w:val="28"/>
          <w:lang w:val="zh-TW" w:eastAsia="zh-CN" w:bidi="ar"/>
        </w:rPr>
        <w:t>基本公共卫生医疗人员待遇</w:t>
      </w:r>
      <w:r>
        <w:rPr>
          <w:rFonts w:hint="eastAsia" w:ascii="仿宋" w:hAnsi="仿宋" w:eastAsia="仿宋" w:cs="仿宋"/>
          <w:bCs/>
          <w:sz w:val="28"/>
          <w:szCs w:val="28"/>
          <w:lang w:val="en-US" w:eastAsia="zh-CN" w:bidi="ar"/>
        </w:rPr>
        <w:t>基本符合工作人员需求。</w:t>
      </w:r>
    </w:p>
    <w:p>
      <w:pPr>
        <w:numPr>
          <w:ilvl w:val="0"/>
          <w:numId w:val="0"/>
        </w:numPr>
        <w:spacing w:line="560" w:lineRule="exact"/>
        <w:ind w:leftChars="0" w:firstLine="560" w:firstLineChars="200"/>
        <w:rPr>
          <w:rFonts w:hint="eastAsia" w:ascii="仿宋" w:hAnsi="仿宋" w:eastAsia="仿宋" w:cs="仿宋"/>
          <w:bCs/>
          <w:sz w:val="28"/>
          <w:szCs w:val="28"/>
          <w:lang w:val="zh-TW" w:eastAsia="zh-CN" w:bidi="ar"/>
        </w:rPr>
      </w:pPr>
      <w:r>
        <w:rPr>
          <w:rFonts w:hint="eastAsia" w:ascii="仿宋" w:hAnsi="仿宋" w:eastAsia="仿宋" w:cs="仿宋"/>
          <w:bCs/>
          <w:sz w:val="28"/>
          <w:szCs w:val="28"/>
          <w:lang w:val="en-US" w:eastAsia="zh-CN" w:bidi="ar"/>
        </w:rPr>
        <w:t>5.</w:t>
      </w:r>
      <w:r>
        <w:rPr>
          <w:rFonts w:hint="eastAsia" w:ascii="仿宋" w:hAnsi="仿宋" w:eastAsia="仿宋" w:cs="仿宋"/>
          <w:bCs/>
          <w:sz w:val="28"/>
          <w:szCs w:val="28"/>
          <w:lang w:val="zh-TW" w:eastAsia="zh-CN" w:bidi="ar"/>
        </w:rPr>
        <w:t>您对基本公共卫生项目每年专业培训内容是否满意?   [单选题]</w:t>
      </w:r>
    </w:p>
    <w:tbl>
      <w:tblPr>
        <w:tblStyle w:val="14"/>
        <w:tblW w:w="8522" w:type="dxa"/>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3077"/>
        <w:gridCol w:w="1032"/>
        <w:gridCol w:w="441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E0E0E0"/>
            <w:vAlign w:val="center"/>
          </w:tcPr>
          <w:p>
            <w:pPr>
              <w:jc w:val="center"/>
            </w:pPr>
            <w:r>
              <w:t>选项</w:t>
            </w:r>
          </w:p>
        </w:tc>
        <w:tc>
          <w:tcPr>
            <w:tcW w:w="1032" w:type="dxa"/>
            <w:shd w:val="clear" w:color="auto" w:fill="E0E0E0"/>
            <w:vAlign w:val="center"/>
          </w:tcPr>
          <w:p>
            <w:pPr>
              <w:jc w:val="center"/>
            </w:pPr>
            <w:r>
              <w:t>小计</w:t>
            </w:r>
          </w:p>
        </w:tc>
        <w:tc>
          <w:tcPr>
            <w:tcW w:w="4413" w:type="dxa"/>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FFFFFF"/>
            <w:vAlign w:val="center"/>
          </w:tcPr>
          <w:p>
            <w:pPr>
              <w:jc w:val="left"/>
            </w:pPr>
            <w:r>
              <w:t>非常满意</w:t>
            </w:r>
          </w:p>
        </w:tc>
        <w:tc>
          <w:tcPr>
            <w:tcW w:w="1032" w:type="dxa"/>
            <w:shd w:val="clear" w:color="auto" w:fill="FFFFFF"/>
            <w:vAlign w:val="center"/>
          </w:tcPr>
          <w:p>
            <w:pPr>
              <w:jc w:val="center"/>
            </w:pPr>
            <w:r>
              <w:t>47</w:t>
            </w:r>
          </w:p>
        </w:tc>
        <w:tc>
          <w:tcPr>
            <w:tcW w:w="4413" w:type="dxa"/>
            <w:shd w:val="clear" w:color="auto" w:fill="FFFFFF"/>
            <w:vAlign w:val="center"/>
          </w:tcPr>
          <w:p>
            <w:pPr>
              <w:jc w:val="left"/>
            </w:pPr>
            <w:r>
              <w:drawing>
                <wp:inline distT="0" distB="0" distL="114300" distR="114300">
                  <wp:extent cx="628650" cy="114300"/>
                  <wp:effectExtent l="0" t="0" r="6350" b="0"/>
                  <wp:docPr id="9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9"/>
                          <pic:cNvPicPr>
                            <a:picLocks noChangeAspect="1"/>
                          </pic:cNvPicPr>
                        </pic:nvPicPr>
                        <pic:blipFill>
                          <a:blip r:embed="rId57"/>
                          <a:stretch>
                            <a:fillRect/>
                          </a:stretch>
                        </pic:blipFill>
                        <pic:spPr>
                          <a:xfrm>
                            <a:off x="0" y="0"/>
                            <a:ext cx="628650" cy="114300"/>
                          </a:xfrm>
                          <a:prstGeom prst="rect">
                            <a:avLst/>
                          </a:prstGeom>
                          <a:noFill/>
                          <a:ln>
                            <a:noFill/>
                          </a:ln>
                        </pic:spPr>
                      </pic:pic>
                    </a:graphicData>
                  </a:graphic>
                </wp:inline>
              </w:drawing>
            </w:r>
            <w:r>
              <w:drawing>
                <wp:inline distT="0" distB="0" distL="114300" distR="114300">
                  <wp:extent cx="723900" cy="114300"/>
                  <wp:effectExtent l="0" t="0" r="0" b="0"/>
                  <wp:docPr id="9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0"/>
                          <pic:cNvPicPr>
                            <a:picLocks noChangeAspect="1"/>
                          </pic:cNvPicPr>
                        </pic:nvPicPr>
                        <pic:blipFill>
                          <a:blip r:embed="rId58"/>
                          <a:stretch>
                            <a:fillRect/>
                          </a:stretch>
                        </pic:blipFill>
                        <pic:spPr>
                          <a:xfrm>
                            <a:off x="0" y="0"/>
                            <a:ext cx="723900" cy="114300"/>
                          </a:xfrm>
                          <a:prstGeom prst="rect">
                            <a:avLst/>
                          </a:prstGeom>
                          <a:noFill/>
                          <a:ln>
                            <a:noFill/>
                          </a:ln>
                        </pic:spPr>
                      </pic:pic>
                    </a:graphicData>
                  </a:graphic>
                </wp:inline>
              </w:drawing>
            </w:r>
            <w:r>
              <w:t>47%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F9F9F9"/>
            <w:vAlign w:val="center"/>
          </w:tcPr>
          <w:p>
            <w:pPr>
              <w:jc w:val="left"/>
            </w:pPr>
            <w:r>
              <w:t>比较满意</w:t>
            </w:r>
          </w:p>
        </w:tc>
        <w:tc>
          <w:tcPr>
            <w:tcW w:w="1032" w:type="dxa"/>
            <w:shd w:val="clear" w:color="auto" w:fill="F9F9F9"/>
            <w:vAlign w:val="center"/>
          </w:tcPr>
          <w:p>
            <w:pPr>
              <w:jc w:val="center"/>
            </w:pPr>
            <w:r>
              <w:t>30</w:t>
            </w:r>
          </w:p>
        </w:tc>
        <w:tc>
          <w:tcPr>
            <w:tcW w:w="4413" w:type="dxa"/>
            <w:shd w:val="clear" w:color="auto" w:fill="F9F9F9"/>
            <w:vAlign w:val="center"/>
          </w:tcPr>
          <w:p>
            <w:pPr>
              <w:jc w:val="left"/>
            </w:pPr>
            <w:r>
              <w:drawing>
                <wp:inline distT="0" distB="0" distL="114300" distR="114300">
                  <wp:extent cx="400050" cy="114300"/>
                  <wp:effectExtent l="0" t="0" r="6350" b="0"/>
                  <wp:docPr id="9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1"/>
                          <pic:cNvPicPr>
                            <a:picLocks noChangeAspect="1"/>
                          </pic:cNvPicPr>
                        </pic:nvPicPr>
                        <pic:blipFill>
                          <a:blip r:embed="rId59"/>
                          <a:stretch>
                            <a:fillRect/>
                          </a:stretch>
                        </pic:blipFill>
                        <pic:spPr>
                          <a:xfrm>
                            <a:off x="0" y="0"/>
                            <a:ext cx="400050" cy="114300"/>
                          </a:xfrm>
                          <a:prstGeom prst="rect">
                            <a:avLst/>
                          </a:prstGeom>
                          <a:noFill/>
                          <a:ln>
                            <a:noFill/>
                          </a:ln>
                        </pic:spPr>
                      </pic:pic>
                    </a:graphicData>
                  </a:graphic>
                </wp:inline>
              </w:drawing>
            </w:r>
            <w:r>
              <w:drawing>
                <wp:inline distT="0" distB="0" distL="114300" distR="114300">
                  <wp:extent cx="952500" cy="114300"/>
                  <wp:effectExtent l="0" t="0" r="0" b="0"/>
                  <wp:docPr id="10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2"/>
                          <pic:cNvPicPr>
                            <a:picLocks noChangeAspect="1"/>
                          </pic:cNvPicPr>
                        </pic:nvPicPr>
                        <pic:blipFill>
                          <a:blip r:embed="rId60"/>
                          <a:stretch>
                            <a:fillRect/>
                          </a:stretch>
                        </pic:blipFill>
                        <pic:spPr>
                          <a:xfrm>
                            <a:off x="0" y="0"/>
                            <a:ext cx="952500" cy="114300"/>
                          </a:xfrm>
                          <a:prstGeom prst="rect">
                            <a:avLst/>
                          </a:prstGeom>
                          <a:noFill/>
                          <a:ln>
                            <a:noFill/>
                          </a:ln>
                        </pic:spPr>
                      </pic:pic>
                    </a:graphicData>
                  </a:graphic>
                </wp:inline>
              </w:drawing>
            </w:r>
            <w:r>
              <w:t>30%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FFFFFF"/>
            <w:vAlign w:val="center"/>
          </w:tcPr>
          <w:p>
            <w:pPr>
              <w:jc w:val="left"/>
            </w:pPr>
            <w:r>
              <w:t>基本满意</w:t>
            </w:r>
          </w:p>
        </w:tc>
        <w:tc>
          <w:tcPr>
            <w:tcW w:w="1032" w:type="dxa"/>
            <w:shd w:val="clear" w:color="auto" w:fill="FFFFFF"/>
            <w:vAlign w:val="center"/>
          </w:tcPr>
          <w:p>
            <w:pPr>
              <w:jc w:val="center"/>
            </w:pPr>
            <w:r>
              <w:t>20</w:t>
            </w:r>
          </w:p>
        </w:tc>
        <w:tc>
          <w:tcPr>
            <w:tcW w:w="4413" w:type="dxa"/>
            <w:shd w:val="clear" w:color="auto" w:fill="FFFFFF"/>
            <w:vAlign w:val="center"/>
          </w:tcPr>
          <w:p>
            <w:pPr>
              <w:jc w:val="left"/>
            </w:pPr>
            <w:r>
              <w:drawing>
                <wp:inline distT="0" distB="0" distL="114300" distR="114300">
                  <wp:extent cx="266700" cy="114300"/>
                  <wp:effectExtent l="0" t="0" r="0" b="0"/>
                  <wp:docPr id="9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3"/>
                          <pic:cNvPicPr>
                            <a:picLocks noChangeAspect="1"/>
                          </pic:cNvPicPr>
                        </pic:nvPicPr>
                        <pic:blipFill>
                          <a:blip r:embed="rId39"/>
                          <a:stretch>
                            <a:fillRect/>
                          </a:stretch>
                        </pic:blipFill>
                        <pic:spPr>
                          <a:xfrm>
                            <a:off x="0" y="0"/>
                            <a:ext cx="266700" cy="114300"/>
                          </a:xfrm>
                          <a:prstGeom prst="rect">
                            <a:avLst/>
                          </a:prstGeom>
                          <a:noFill/>
                          <a:ln>
                            <a:noFill/>
                          </a:ln>
                        </pic:spPr>
                      </pic:pic>
                    </a:graphicData>
                  </a:graphic>
                </wp:inline>
              </w:drawing>
            </w:r>
            <w:r>
              <w:drawing>
                <wp:inline distT="0" distB="0" distL="114300" distR="114300">
                  <wp:extent cx="1085850" cy="114300"/>
                  <wp:effectExtent l="0" t="0" r="6350" b="0"/>
                  <wp:docPr id="9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4"/>
                          <pic:cNvPicPr>
                            <a:picLocks noChangeAspect="1"/>
                          </pic:cNvPicPr>
                        </pic:nvPicPr>
                        <pic:blipFill>
                          <a:blip r:embed="rId40"/>
                          <a:stretch>
                            <a:fillRect/>
                          </a:stretch>
                        </pic:blipFill>
                        <pic:spPr>
                          <a:xfrm>
                            <a:off x="0" y="0"/>
                            <a:ext cx="1085850" cy="114300"/>
                          </a:xfrm>
                          <a:prstGeom prst="rect">
                            <a:avLst/>
                          </a:prstGeom>
                          <a:noFill/>
                          <a:ln>
                            <a:noFill/>
                          </a:ln>
                        </pic:spPr>
                      </pic:pic>
                    </a:graphicData>
                  </a:graphic>
                </wp:inline>
              </w:drawing>
            </w:r>
            <w:r>
              <w:t>20%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F9F9F9"/>
            <w:vAlign w:val="center"/>
          </w:tcPr>
          <w:p>
            <w:pPr>
              <w:jc w:val="left"/>
            </w:pPr>
            <w:r>
              <w:t>不满意</w:t>
            </w:r>
          </w:p>
        </w:tc>
        <w:tc>
          <w:tcPr>
            <w:tcW w:w="1032" w:type="dxa"/>
            <w:shd w:val="clear" w:color="auto" w:fill="F9F9F9"/>
            <w:vAlign w:val="center"/>
          </w:tcPr>
          <w:p>
            <w:pPr>
              <w:jc w:val="center"/>
            </w:pPr>
            <w:r>
              <w:t>2</w:t>
            </w:r>
          </w:p>
        </w:tc>
        <w:tc>
          <w:tcPr>
            <w:tcW w:w="4413" w:type="dxa"/>
            <w:shd w:val="clear" w:color="auto" w:fill="F9F9F9"/>
            <w:vAlign w:val="center"/>
          </w:tcPr>
          <w:p>
            <w:pPr>
              <w:jc w:val="left"/>
            </w:pPr>
            <w:r>
              <w:drawing>
                <wp:inline distT="0" distB="0" distL="114300" distR="114300">
                  <wp:extent cx="19050" cy="114300"/>
                  <wp:effectExtent l="0" t="0" r="6350" b="0"/>
                  <wp:docPr id="10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5"/>
                          <pic:cNvPicPr>
                            <a:picLocks noChangeAspect="1"/>
                          </pic:cNvPicPr>
                        </pic:nvPicPr>
                        <pic:blipFill>
                          <a:blip r:embed="rId49"/>
                          <a:stretch>
                            <a:fillRect/>
                          </a:stretch>
                        </pic:blipFill>
                        <pic:spPr>
                          <a:xfrm>
                            <a:off x="0" y="0"/>
                            <a:ext cx="19050" cy="114300"/>
                          </a:xfrm>
                          <a:prstGeom prst="rect">
                            <a:avLst/>
                          </a:prstGeom>
                          <a:noFill/>
                          <a:ln>
                            <a:noFill/>
                          </a:ln>
                        </pic:spPr>
                      </pic:pic>
                    </a:graphicData>
                  </a:graphic>
                </wp:inline>
              </w:drawing>
            </w:r>
            <w:r>
              <w:drawing>
                <wp:inline distT="0" distB="0" distL="114300" distR="114300">
                  <wp:extent cx="1333500" cy="114300"/>
                  <wp:effectExtent l="0" t="0" r="0" b="0"/>
                  <wp:docPr id="9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6"/>
                          <pic:cNvPicPr>
                            <a:picLocks noChangeAspect="1"/>
                          </pic:cNvPicPr>
                        </pic:nvPicPr>
                        <pic:blipFill>
                          <a:blip r:embed="rId50"/>
                          <a:stretch>
                            <a:fillRect/>
                          </a:stretch>
                        </pic:blipFill>
                        <pic:spPr>
                          <a:xfrm>
                            <a:off x="0" y="0"/>
                            <a:ext cx="1333500" cy="114300"/>
                          </a:xfrm>
                          <a:prstGeom prst="rect">
                            <a:avLst/>
                          </a:prstGeom>
                          <a:noFill/>
                          <a:ln>
                            <a:noFill/>
                          </a:ln>
                        </pic:spPr>
                      </pic:pic>
                    </a:graphicData>
                  </a:graphic>
                </wp:inline>
              </w:drawing>
            </w:r>
            <w:r>
              <w:t>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FFFFFF"/>
            <w:vAlign w:val="center"/>
          </w:tcPr>
          <w:p>
            <w:pPr>
              <w:jc w:val="left"/>
            </w:pPr>
            <w:r>
              <w:t>非常不满意</w:t>
            </w:r>
          </w:p>
        </w:tc>
        <w:tc>
          <w:tcPr>
            <w:tcW w:w="1032" w:type="dxa"/>
            <w:shd w:val="clear" w:color="auto" w:fill="FFFFFF"/>
            <w:vAlign w:val="center"/>
          </w:tcPr>
          <w:p>
            <w:pPr>
              <w:jc w:val="center"/>
            </w:pPr>
            <w:r>
              <w:t>1</w:t>
            </w:r>
          </w:p>
        </w:tc>
        <w:tc>
          <w:tcPr>
            <w:tcW w:w="4413" w:type="dxa"/>
            <w:shd w:val="clear" w:color="auto" w:fill="FFFFFF"/>
            <w:vAlign w:val="center"/>
          </w:tcPr>
          <w:p>
            <w:pPr>
              <w:jc w:val="left"/>
            </w:pPr>
            <w:r>
              <w:drawing>
                <wp:inline distT="0" distB="0" distL="114300" distR="114300">
                  <wp:extent cx="9525" cy="114300"/>
                  <wp:effectExtent l="0" t="0" r="3175" b="0"/>
                  <wp:docPr id="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7"/>
                          <pic:cNvPicPr>
                            <a:picLocks noChangeAspect="1"/>
                          </pic:cNvPicPr>
                        </pic:nvPicPr>
                        <pic:blipFill>
                          <a:blip r:embed="rId32"/>
                          <a:stretch>
                            <a:fillRect/>
                          </a:stretch>
                        </pic:blipFill>
                        <pic:spPr>
                          <a:xfrm>
                            <a:off x="0" y="0"/>
                            <a:ext cx="9525" cy="114300"/>
                          </a:xfrm>
                          <a:prstGeom prst="rect">
                            <a:avLst/>
                          </a:prstGeom>
                          <a:noFill/>
                          <a:ln>
                            <a:noFill/>
                          </a:ln>
                        </pic:spPr>
                      </pic:pic>
                    </a:graphicData>
                  </a:graphic>
                </wp:inline>
              </w:drawing>
            </w:r>
            <w:r>
              <w:drawing>
                <wp:inline distT="0" distB="0" distL="114300" distR="114300">
                  <wp:extent cx="1343025" cy="114300"/>
                  <wp:effectExtent l="0" t="0" r="3175" b="0"/>
                  <wp:docPr id="10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8"/>
                          <pic:cNvPicPr>
                            <a:picLocks noChangeAspect="1"/>
                          </pic:cNvPicPr>
                        </pic:nvPicPr>
                        <pic:blipFill>
                          <a:blip r:embed="rId33"/>
                          <a:stretch>
                            <a:fillRect/>
                          </a:stretch>
                        </pic:blipFill>
                        <pic:spPr>
                          <a:xfrm>
                            <a:off x="0" y="0"/>
                            <a:ext cx="1343025" cy="114300"/>
                          </a:xfrm>
                          <a:prstGeom prst="rect">
                            <a:avLst/>
                          </a:prstGeom>
                          <a:noFill/>
                          <a:ln>
                            <a:noFill/>
                          </a:ln>
                        </pic:spPr>
                      </pic:pic>
                    </a:graphicData>
                  </a:graphic>
                </wp:inline>
              </w:drawing>
            </w:r>
            <w:r>
              <w:t>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3077" w:type="dxa"/>
            <w:shd w:val="clear" w:color="auto" w:fill="E0E0E0"/>
            <w:vAlign w:val="center"/>
          </w:tcPr>
          <w:p>
            <w:pPr>
              <w:jc w:val="left"/>
            </w:pPr>
            <w:r>
              <w:t>本题有效填写人次</w:t>
            </w:r>
          </w:p>
        </w:tc>
        <w:tc>
          <w:tcPr>
            <w:tcW w:w="1032" w:type="dxa"/>
            <w:shd w:val="clear" w:color="auto" w:fill="E0E0E0"/>
            <w:vAlign w:val="center"/>
          </w:tcPr>
          <w:p>
            <w:pPr>
              <w:jc w:val="center"/>
            </w:pPr>
            <w:r>
              <w:t>100</w:t>
            </w:r>
          </w:p>
        </w:tc>
        <w:tc>
          <w:tcPr>
            <w:tcW w:w="4413" w:type="dxa"/>
            <w:shd w:val="clear" w:color="auto" w:fill="E0E0E0"/>
            <w:vAlign w:val="center"/>
          </w:tcPr>
          <w:p>
            <w:pPr>
              <w:jc w:val="left"/>
            </w:pPr>
          </w:p>
        </w:tc>
      </w:tr>
    </w:tbl>
    <w:p>
      <w:pPr>
        <w:spacing w:line="560" w:lineRule="exact"/>
        <w:ind w:firstLine="420" w:firstLineChars="200"/>
        <w:rPr>
          <w:rFonts w:hint="eastAsia" w:ascii="仿宋" w:hAnsi="仿宋" w:eastAsia="仿宋" w:cs="仿宋"/>
          <w:bCs/>
          <w:sz w:val="28"/>
          <w:szCs w:val="28"/>
          <w:lang w:val="zh-TW" w:eastAsia="zh-CN" w:bidi="ar"/>
        </w:rPr>
      </w:pPr>
      <w:r>
        <w:rPr>
          <w:rFonts w:hint="eastAsia" w:ascii="仿宋" w:hAnsi="仿宋" w:eastAsia="仿宋"/>
          <w:sz w:val="21"/>
          <w:szCs w:val="24"/>
          <w:lang w:val="en-US" w:eastAsia="zh-CN"/>
        </w:rPr>
        <w:t xml:space="preserve"> </w:t>
      </w:r>
      <w:r>
        <w:rPr>
          <w:rFonts w:hint="eastAsia" w:ascii="仿宋" w:hAnsi="仿宋" w:eastAsia="仿宋"/>
          <w:sz w:val="28"/>
          <w:szCs w:val="36"/>
          <w:lang w:val="en-US" w:eastAsia="zh-CN"/>
        </w:rPr>
        <w:t xml:space="preserve"> 结果分析：本次共发放100份问卷，收回100份。</w:t>
      </w:r>
      <w:r>
        <w:rPr>
          <w:rFonts w:hint="eastAsia" w:ascii="仿宋" w:hAnsi="仿宋" w:eastAsia="仿宋" w:cs="仿宋"/>
          <w:bCs/>
          <w:sz w:val="28"/>
          <w:szCs w:val="28"/>
          <w:lang w:val="en-US" w:eastAsia="zh-CN" w:bidi="ar"/>
        </w:rPr>
        <w:t>97%的公卫工作人员</w:t>
      </w:r>
      <w:r>
        <w:rPr>
          <w:rFonts w:hint="eastAsia" w:ascii="仿宋" w:hAnsi="仿宋" w:eastAsia="仿宋" w:cs="仿宋"/>
          <w:bCs/>
          <w:sz w:val="28"/>
          <w:szCs w:val="28"/>
          <w:lang w:val="zh-TW" w:eastAsia="zh-CN" w:bidi="ar"/>
        </w:rPr>
        <w:t>对每年专业培训内容</w:t>
      </w:r>
      <w:r>
        <w:rPr>
          <w:rFonts w:hint="eastAsia" w:ascii="仿宋" w:hAnsi="仿宋" w:eastAsia="仿宋" w:cs="仿宋"/>
          <w:bCs/>
          <w:sz w:val="28"/>
          <w:szCs w:val="28"/>
          <w:lang w:val="en-US" w:eastAsia="zh-CN" w:bidi="ar"/>
        </w:rPr>
        <w:t>非常</w:t>
      </w:r>
      <w:r>
        <w:rPr>
          <w:rFonts w:hint="eastAsia" w:ascii="仿宋" w:hAnsi="仿宋" w:eastAsia="仿宋" w:cs="仿宋"/>
          <w:bCs/>
          <w:sz w:val="28"/>
          <w:szCs w:val="28"/>
          <w:lang w:val="zh-TW" w:eastAsia="zh-CN" w:bidi="ar"/>
        </w:rPr>
        <w:t>满意、</w:t>
      </w:r>
      <w:r>
        <w:rPr>
          <w:rFonts w:hint="eastAsia" w:ascii="仿宋" w:hAnsi="仿宋" w:eastAsia="仿宋" w:cs="仿宋"/>
          <w:bCs/>
          <w:sz w:val="28"/>
          <w:szCs w:val="28"/>
          <w:lang w:val="en-US" w:eastAsia="zh-CN" w:bidi="ar"/>
        </w:rPr>
        <w:t>比较满意和基本满意</w:t>
      </w:r>
      <w:r>
        <w:rPr>
          <w:rFonts w:hint="eastAsia" w:ascii="仿宋" w:hAnsi="仿宋" w:eastAsia="仿宋" w:cs="仿宋"/>
          <w:bCs/>
          <w:sz w:val="28"/>
          <w:szCs w:val="28"/>
          <w:lang w:val="zh-TW" w:eastAsia="zh-CN" w:bidi="ar"/>
        </w:rPr>
        <w:t>，</w:t>
      </w:r>
      <w:r>
        <w:rPr>
          <w:rFonts w:hint="eastAsia" w:ascii="仿宋" w:hAnsi="仿宋" w:eastAsia="仿宋" w:cs="仿宋"/>
          <w:bCs/>
          <w:sz w:val="28"/>
          <w:szCs w:val="28"/>
          <w:lang w:val="en-US" w:eastAsia="zh-CN" w:bidi="ar"/>
        </w:rPr>
        <w:t>基本公卫项目每年的专业培训内容符合项目工作实际。</w:t>
      </w:r>
    </w:p>
    <w:p>
      <w:pPr>
        <w:spacing w:line="560" w:lineRule="exact"/>
        <w:ind w:firstLine="562" w:firstLineChars="200"/>
        <w:rPr>
          <w:rFonts w:hint="eastAsia" w:ascii="仿宋" w:hAnsi="仿宋" w:eastAsia="仿宋" w:cs="仿宋"/>
          <w:b/>
          <w:bCs w:val="0"/>
          <w:sz w:val="28"/>
          <w:szCs w:val="28"/>
          <w:lang w:val="zh-TW" w:eastAsia="zh-CN" w:bidi="ar"/>
        </w:rPr>
      </w:pPr>
      <w:r>
        <w:rPr>
          <w:rFonts w:hint="eastAsia" w:ascii="仿宋" w:hAnsi="仿宋" w:eastAsia="仿宋" w:cs="仿宋"/>
          <w:b/>
          <w:bCs w:val="0"/>
          <w:sz w:val="28"/>
          <w:szCs w:val="28"/>
          <w:lang w:val="en-US" w:eastAsia="zh-CN" w:bidi="ar"/>
        </w:rPr>
        <w:t>四、</w:t>
      </w:r>
      <w:r>
        <w:rPr>
          <w:rFonts w:hint="eastAsia" w:ascii="仿宋" w:hAnsi="仿宋" w:eastAsia="仿宋" w:cs="仿宋"/>
          <w:b/>
          <w:bCs w:val="0"/>
          <w:sz w:val="28"/>
          <w:szCs w:val="28"/>
          <w:lang w:val="zh-TW" w:eastAsia="zh-CN" w:bidi="ar"/>
        </w:rPr>
        <w:t>问卷满意度分析汇总</w:t>
      </w:r>
    </w:p>
    <w:p>
      <w:pPr>
        <w:spacing w:line="560" w:lineRule="exact"/>
        <w:ind w:firstLine="560" w:firstLineChars="200"/>
        <w:rPr>
          <w:rFonts w:hint="eastAsia" w:ascii="仿宋" w:hAnsi="仿宋" w:eastAsia="仿宋" w:cs="仿宋"/>
          <w:bCs/>
          <w:sz w:val="28"/>
          <w:szCs w:val="28"/>
          <w:lang w:val="zh-TW" w:eastAsia="zh-CN" w:bidi="ar"/>
        </w:rPr>
      </w:pPr>
      <w:bookmarkStart w:id="331" w:name="_Toc26941_WPSOffice_Level2"/>
      <w:bookmarkStart w:id="332" w:name="_Toc9922_WPSOffice_Level2"/>
      <w:r>
        <w:rPr>
          <w:rFonts w:hint="eastAsia" w:ascii="仿宋" w:hAnsi="仿宋" w:eastAsia="仿宋" w:cs="仿宋"/>
          <w:bCs/>
          <w:sz w:val="28"/>
          <w:szCs w:val="28"/>
          <w:lang w:val="zh-TW" w:eastAsia="zh-CN" w:bidi="ar"/>
        </w:rPr>
        <w:t>在分析问卷时，我们设</w:t>
      </w:r>
      <w:bookmarkEnd w:id="331"/>
      <w:bookmarkEnd w:id="332"/>
      <w:r>
        <w:rPr>
          <w:rFonts w:hint="eastAsia" w:ascii="仿宋" w:hAnsi="仿宋" w:eastAsia="仿宋" w:cs="仿宋"/>
          <w:bCs/>
          <w:sz w:val="28"/>
          <w:szCs w:val="28"/>
          <w:lang w:val="zh-TW" w:eastAsia="zh-CN" w:bidi="ar"/>
        </w:rPr>
        <w:t>“非常满意”权重为1；“满意”权重为0.8;“一般满意”权重为0.6；“不太满意”权重为0.3；“非常不满意”权重为0，对调查对象满意度进行汇总平均，平均总满意度达到了</w:t>
      </w:r>
      <w:r>
        <w:rPr>
          <w:rFonts w:hint="eastAsia" w:ascii="仿宋" w:hAnsi="仿宋" w:eastAsia="仿宋" w:cs="仿宋"/>
          <w:bCs/>
          <w:sz w:val="28"/>
          <w:szCs w:val="28"/>
          <w:lang w:val="en-US" w:eastAsia="zh-CN" w:bidi="ar"/>
        </w:rPr>
        <w:t>83.14</w:t>
      </w:r>
      <w:r>
        <w:rPr>
          <w:rFonts w:hint="eastAsia" w:ascii="仿宋" w:hAnsi="仿宋" w:eastAsia="仿宋" w:cs="仿宋"/>
          <w:bCs/>
          <w:sz w:val="28"/>
          <w:szCs w:val="28"/>
          <w:lang w:val="zh-TW" w:eastAsia="zh-CN" w:bidi="ar"/>
        </w:rPr>
        <w:t>%。</w:t>
      </w:r>
    </w:p>
    <w:p>
      <w:pPr>
        <w:spacing w:line="560" w:lineRule="exact"/>
        <w:ind w:firstLine="560" w:firstLineChars="200"/>
        <w:jc w:val="center"/>
        <w:rPr>
          <w:rFonts w:hint="eastAsia" w:ascii="仿宋" w:hAnsi="仿宋" w:eastAsia="仿宋" w:cs="仿宋"/>
          <w:bCs/>
          <w:sz w:val="28"/>
          <w:szCs w:val="28"/>
          <w:lang w:val="zh-TW" w:eastAsia="zh-CN" w:bidi="ar"/>
        </w:rPr>
      </w:pPr>
      <w:r>
        <w:rPr>
          <w:rFonts w:hint="eastAsia" w:ascii="仿宋" w:hAnsi="仿宋" w:eastAsia="仿宋" w:cs="仿宋"/>
          <w:bCs/>
          <w:sz w:val="28"/>
          <w:szCs w:val="28"/>
          <w:lang w:val="zh-TW" w:eastAsia="zh-CN" w:bidi="ar"/>
        </w:rPr>
        <w:t>问卷调查满意度情况表</w:t>
      </w:r>
    </w:p>
    <w:tbl>
      <w:tblPr>
        <w:tblStyle w:val="14"/>
        <w:tblW w:w="8849" w:type="dxa"/>
        <w:tblInd w:w="93" w:type="dxa"/>
        <w:tblLayout w:type="fixed"/>
        <w:tblCellMar>
          <w:top w:w="0" w:type="dxa"/>
          <w:left w:w="108" w:type="dxa"/>
          <w:bottom w:w="0" w:type="dxa"/>
          <w:right w:w="108" w:type="dxa"/>
        </w:tblCellMar>
      </w:tblPr>
      <w:tblGrid>
        <w:gridCol w:w="2386"/>
        <w:gridCol w:w="1482"/>
        <w:gridCol w:w="1363"/>
        <w:gridCol w:w="1237"/>
        <w:gridCol w:w="1027"/>
        <w:gridCol w:w="1354"/>
      </w:tblGrid>
      <w:tr>
        <w:tblPrEx>
          <w:tblCellMar>
            <w:top w:w="0" w:type="dxa"/>
            <w:left w:w="108" w:type="dxa"/>
            <w:bottom w:w="0" w:type="dxa"/>
            <w:right w:w="108" w:type="dxa"/>
          </w:tblCellMar>
        </w:tblPrEx>
        <w:trPr>
          <w:trHeight w:val="375" w:hRule="atLeast"/>
          <w:tblHeader/>
        </w:trPr>
        <w:tc>
          <w:tcPr>
            <w:tcW w:w="2386" w:type="dxa"/>
            <w:tcBorders>
              <w:top w:val="single" w:color="auto" w:sz="4" w:space="0"/>
              <w:left w:val="single" w:color="auto" w:sz="4" w:space="0"/>
              <w:bottom w:val="single" w:color="auto" w:sz="4" w:space="0"/>
              <w:right w:val="single" w:color="auto" w:sz="4" w:space="0"/>
            </w:tcBorders>
            <w:shd w:val="clear" w:color="000000" w:fill="D8D8D8"/>
            <w:vAlign w:val="center"/>
          </w:tcPr>
          <w:p>
            <w:pPr>
              <w:widowControl/>
              <w:jc w:val="center"/>
              <w:rPr>
                <w:rFonts w:ascii="仿宋" w:hAnsi="仿宋" w:eastAsia="仿宋" w:cs="宋体"/>
                <w:color w:val="000000"/>
                <w:kern w:val="0"/>
                <w:szCs w:val="21"/>
              </w:rPr>
            </w:pPr>
            <w:bookmarkStart w:id="333" w:name="RANGE!A1"/>
            <w:r>
              <w:rPr>
                <w:rFonts w:hint="eastAsia" w:ascii="仿宋" w:hAnsi="仿宋" w:eastAsia="仿宋" w:cs="宋体"/>
                <w:color w:val="000000"/>
                <w:kern w:val="0"/>
                <w:szCs w:val="21"/>
              </w:rPr>
              <w:t>题目</w:t>
            </w:r>
            <w:bookmarkEnd w:id="333"/>
          </w:p>
        </w:tc>
        <w:tc>
          <w:tcPr>
            <w:tcW w:w="1482" w:type="dxa"/>
            <w:tcBorders>
              <w:top w:val="single" w:color="auto" w:sz="4" w:space="0"/>
              <w:left w:val="nil"/>
              <w:bottom w:val="single" w:color="auto" w:sz="4" w:space="0"/>
              <w:right w:val="single" w:color="auto" w:sz="4" w:space="0"/>
            </w:tcBorders>
            <w:shd w:val="clear" w:color="000000" w:fill="D8D8D8"/>
            <w:noWrap/>
            <w:vAlign w:val="center"/>
          </w:tcPr>
          <w:p>
            <w:pPr>
              <w:widowControl/>
              <w:rPr>
                <w:rFonts w:ascii="仿宋" w:hAnsi="仿宋" w:eastAsia="仿宋" w:cs="宋体"/>
                <w:color w:val="000000"/>
                <w:kern w:val="0"/>
                <w:szCs w:val="21"/>
              </w:rPr>
            </w:pPr>
            <w:r>
              <w:rPr>
                <w:rFonts w:hint="eastAsia" w:ascii="仿宋" w:hAnsi="仿宋" w:eastAsia="仿宋" w:cs="宋体"/>
                <w:color w:val="000000"/>
                <w:kern w:val="0"/>
                <w:szCs w:val="21"/>
              </w:rPr>
              <w:t>非常满意</w:t>
            </w:r>
          </w:p>
        </w:tc>
        <w:tc>
          <w:tcPr>
            <w:tcW w:w="1363" w:type="dxa"/>
            <w:tcBorders>
              <w:top w:val="single" w:color="auto" w:sz="4" w:space="0"/>
              <w:left w:val="nil"/>
              <w:bottom w:val="single" w:color="auto" w:sz="4" w:space="0"/>
              <w:right w:val="single" w:color="auto" w:sz="4" w:space="0"/>
            </w:tcBorders>
            <w:shd w:val="clear" w:color="000000" w:fill="D8D8D8"/>
            <w:noWrap/>
            <w:vAlign w:val="center"/>
          </w:tcPr>
          <w:p>
            <w:pPr>
              <w:widowControl/>
              <w:jc w:val="left"/>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比较满意</w:t>
            </w:r>
          </w:p>
        </w:tc>
        <w:tc>
          <w:tcPr>
            <w:tcW w:w="1237" w:type="dxa"/>
            <w:tcBorders>
              <w:top w:val="single" w:color="auto" w:sz="4" w:space="0"/>
              <w:left w:val="nil"/>
              <w:bottom w:val="single" w:color="auto" w:sz="4" w:space="0"/>
              <w:right w:val="single" w:color="auto" w:sz="4" w:space="0"/>
            </w:tcBorders>
            <w:shd w:val="clear" w:color="000000" w:fill="D8D8D8"/>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基本满意</w:t>
            </w:r>
          </w:p>
        </w:tc>
        <w:tc>
          <w:tcPr>
            <w:tcW w:w="1027" w:type="dxa"/>
            <w:tcBorders>
              <w:top w:val="single" w:color="auto" w:sz="4" w:space="0"/>
              <w:left w:val="nil"/>
              <w:bottom w:val="single" w:color="auto" w:sz="4" w:space="0"/>
              <w:right w:val="single" w:color="auto" w:sz="4" w:space="0"/>
            </w:tcBorders>
            <w:shd w:val="clear" w:color="000000" w:fill="D8D8D8"/>
            <w:noWrap/>
            <w:vAlign w:val="center"/>
          </w:tcPr>
          <w:p>
            <w:pPr>
              <w:widowControl/>
              <w:jc w:val="left"/>
              <w:rPr>
                <w:rFonts w:hint="eastAsia" w:ascii="仿宋" w:hAnsi="仿宋" w:eastAsia="仿宋" w:cs="宋体"/>
                <w:color w:val="000000"/>
                <w:kern w:val="0"/>
                <w:szCs w:val="21"/>
              </w:rPr>
            </w:pPr>
            <w:r>
              <w:rPr>
                <w:rFonts w:hint="eastAsia" w:ascii="仿宋" w:hAnsi="仿宋" w:eastAsia="仿宋" w:cs="宋体"/>
                <w:color w:val="000000"/>
                <w:kern w:val="0"/>
                <w:szCs w:val="21"/>
                <w:lang w:val="en-US" w:eastAsia="zh-CN"/>
              </w:rPr>
              <w:t>不</w:t>
            </w:r>
            <w:r>
              <w:rPr>
                <w:rFonts w:hint="eastAsia" w:ascii="仿宋" w:hAnsi="仿宋" w:eastAsia="仿宋" w:cs="宋体"/>
                <w:color w:val="000000"/>
                <w:kern w:val="0"/>
                <w:szCs w:val="21"/>
              </w:rPr>
              <w:t>满意</w:t>
            </w:r>
          </w:p>
        </w:tc>
        <w:tc>
          <w:tcPr>
            <w:tcW w:w="1354" w:type="dxa"/>
            <w:tcBorders>
              <w:top w:val="single" w:color="auto" w:sz="4" w:space="0"/>
              <w:left w:val="nil"/>
              <w:bottom w:val="single" w:color="auto" w:sz="4" w:space="0"/>
              <w:right w:val="single" w:color="auto" w:sz="4" w:space="0"/>
            </w:tcBorders>
            <w:shd w:val="clear" w:color="000000" w:fill="D8D8D8"/>
            <w:noWrap/>
            <w:vAlign w:val="center"/>
          </w:tcPr>
          <w:p>
            <w:pPr>
              <w:widowControl/>
              <w:jc w:val="left"/>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非常不满意</w:t>
            </w:r>
          </w:p>
        </w:tc>
      </w:tr>
      <w:tr>
        <w:tblPrEx>
          <w:tblCellMar>
            <w:top w:w="0" w:type="dxa"/>
            <w:left w:w="108" w:type="dxa"/>
            <w:bottom w:w="0" w:type="dxa"/>
            <w:right w:w="108" w:type="dxa"/>
          </w:tblCellMar>
        </w:tblPrEx>
        <w:trPr>
          <w:trHeight w:val="420" w:hRule="atLeast"/>
        </w:trPr>
        <w:tc>
          <w:tcPr>
            <w:tcW w:w="2386" w:type="dxa"/>
            <w:tcBorders>
              <w:top w:val="nil"/>
              <w:left w:val="single" w:color="auto" w:sz="4" w:space="0"/>
              <w:bottom w:val="single" w:color="auto" w:sz="4" w:space="0"/>
              <w:right w:val="single" w:color="auto" w:sz="4" w:space="0"/>
            </w:tcBorders>
            <w:shd w:val="clear" w:color="auto" w:fill="auto"/>
            <w:vAlign w:val="center"/>
          </w:tcPr>
          <w:p>
            <w:pPr>
              <w:widowControl/>
              <w:rPr>
                <w:rFonts w:hint="eastAsia" w:ascii="仿宋" w:hAnsi="仿宋" w:eastAsia="仿宋" w:cs="宋体"/>
                <w:color w:val="000000"/>
                <w:kern w:val="0"/>
                <w:sz w:val="18"/>
                <w:szCs w:val="18"/>
              </w:rPr>
            </w:pPr>
            <w:r>
              <w:rPr>
                <w:rFonts w:hint="eastAsia" w:ascii="仿宋" w:hAnsi="仿宋" w:eastAsia="仿宋" w:cs="宋体"/>
                <w:color w:val="000000"/>
                <w:kern w:val="0"/>
                <w:sz w:val="18"/>
                <w:szCs w:val="18"/>
                <w:lang w:val="zh-TW" w:eastAsia="zh-CN"/>
              </w:rPr>
              <w:t>您对本院基本公共卫生服务管理工作是否满意</w:t>
            </w:r>
          </w:p>
        </w:tc>
        <w:tc>
          <w:tcPr>
            <w:tcW w:w="148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62%</w:t>
            </w:r>
          </w:p>
        </w:tc>
        <w:tc>
          <w:tcPr>
            <w:tcW w:w="136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29%</w:t>
            </w:r>
          </w:p>
        </w:tc>
        <w:tc>
          <w:tcPr>
            <w:tcW w:w="1237"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8%</w:t>
            </w:r>
          </w:p>
        </w:tc>
        <w:tc>
          <w:tcPr>
            <w:tcW w:w="1027"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1%</w:t>
            </w:r>
          </w:p>
        </w:tc>
        <w:tc>
          <w:tcPr>
            <w:tcW w:w="135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0%</w:t>
            </w:r>
          </w:p>
        </w:tc>
      </w:tr>
      <w:tr>
        <w:tblPrEx>
          <w:tblCellMar>
            <w:top w:w="0" w:type="dxa"/>
            <w:left w:w="108" w:type="dxa"/>
            <w:bottom w:w="0" w:type="dxa"/>
            <w:right w:w="108" w:type="dxa"/>
          </w:tblCellMar>
        </w:tblPrEx>
        <w:trPr>
          <w:trHeight w:val="420" w:hRule="atLeast"/>
        </w:trPr>
        <w:tc>
          <w:tcPr>
            <w:tcW w:w="2386" w:type="dxa"/>
            <w:tcBorders>
              <w:top w:val="nil"/>
              <w:left w:val="single" w:color="auto" w:sz="4" w:space="0"/>
              <w:bottom w:val="single" w:color="auto" w:sz="4" w:space="0"/>
              <w:right w:val="single" w:color="auto" w:sz="4" w:space="0"/>
            </w:tcBorders>
            <w:shd w:val="clear" w:color="auto" w:fill="auto"/>
            <w:vAlign w:val="center"/>
          </w:tcPr>
          <w:p>
            <w:pPr>
              <w:widowControl/>
              <w:rPr>
                <w:rFonts w:hint="eastAsia" w:ascii="仿宋" w:hAnsi="仿宋" w:eastAsia="仿宋" w:cs="宋体"/>
                <w:color w:val="000000"/>
                <w:kern w:val="0"/>
                <w:sz w:val="18"/>
                <w:szCs w:val="18"/>
              </w:rPr>
            </w:pPr>
            <w:r>
              <w:rPr>
                <w:rFonts w:hint="eastAsia" w:ascii="仿宋" w:hAnsi="仿宋" w:eastAsia="仿宋" w:cs="宋体"/>
                <w:color w:val="000000"/>
                <w:kern w:val="0"/>
                <w:sz w:val="18"/>
                <w:szCs w:val="18"/>
                <w:lang w:val="zh-TW" w:eastAsia="zh-CN"/>
              </w:rPr>
              <w:t>您对上级部门制定的绩效考核标准是否满意</w:t>
            </w:r>
          </w:p>
        </w:tc>
        <w:tc>
          <w:tcPr>
            <w:tcW w:w="148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41%</w:t>
            </w:r>
          </w:p>
        </w:tc>
        <w:tc>
          <w:tcPr>
            <w:tcW w:w="136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34%</w:t>
            </w:r>
          </w:p>
        </w:tc>
        <w:tc>
          <w:tcPr>
            <w:tcW w:w="1237"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20%</w:t>
            </w:r>
          </w:p>
        </w:tc>
        <w:tc>
          <w:tcPr>
            <w:tcW w:w="1027"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4%</w:t>
            </w:r>
          </w:p>
        </w:tc>
        <w:tc>
          <w:tcPr>
            <w:tcW w:w="135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1%</w:t>
            </w:r>
          </w:p>
        </w:tc>
      </w:tr>
      <w:tr>
        <w:tblPrEx>
          <w:tblCellMar>
            <w:top w:w="0" w:type="dxa"/>
            <w:left w:w="108" w:type="dxa"/>
            <w:bottom w:w="0" w:type="dxa"/>
            <w:right w:w="108" w:type="dxa"/>
          </w:tblCellMar>
        </w:tblPrEx>
        <w:trPr>
          <w:trHeight w:val="270" w:hRule="atLeast"/>
        </w:trPr>
        <w:tc>
          <w:tcPr>
            <w:tcW w:w="2386" w:type="dxa"/>
            <w:tcBorders>
              <w:top w:val="nil"/>
              <w:left w:val="single" w:color="auto" w:sz="4" w:space="0"/>
              <w:bottom w:val="single" w:color="auto" w:sz="4" w:space="0"/>
              <w:right w:val="single" w:color="auto" w:sz="4" w:space="0"/>
            </w:tcBorders>
            <w:shd w:val="clear" w:color="auto" w:fill="auto"/>
            <w:vAlign w:val="center"/>
          </w:tcPr>
          <w:p>
            <w:pPr>
              <w:widowControl/>
              <w:rPr>
                <w:rFonts w:hint="eastAsia" w:ascii="仿宋" w:hAnsi="仿宋" w:eastAsia="仿宋" w:cs="宋体"/>
                <w:color w:val="000000"/>
                <w:kern w:val="0"/>
                <w:sz w:val="18"/>
                <w:szCs w:val="18"/>
              </w:rPr>
            </w:pPr>
            <w:r>
              <w:rPr>
                <w:rFonts w:hint="eastAsia" w:ascii="仿宋" w:hAnsi="仿宋" w:eastAsia="仿宋" w:cs="宋体"/>
                <w:color w:val="000000"/>
                <w:kern w:val="0"/>
                <w:sz w:val="18"/>
                <w:szCs w:val="18"/>
                <w:lang w:val="zh-TW" w:eastAsia="zh-CN"/>
              </w:rPr>
              <w:t>您对基本公共卫生目前的运行模式是否满意</w:t>
            </w:r>
          </w:p>
        </w:tc>
        <w:tc>
          <w:tcPr>
            <w:tcW w:w="148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42%</w:t>
            </w:r>
          </w:p>
        </w:tc>
        <w:tc>
          <w:tcPr>
            <w:tcW w:w="136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39%</w:t>
            </w:r>
          </w:p>
        </w:tc>
        <w:tc>
          <w:tcPr>
            <w:tcW w:w="1237"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17%</w:t>
            </w:r>
          </w:p>
        </w:tc>
        <w:tc>
          <w:tcPr>
            <w:tcW w:w="1027"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2%</w:t>
            </w:r>
          </w:p>
        </w:tc>
        <w:tc>
          <w:tcPr>
            <w:tcW w:w="135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0%</w:t>
            </w:r>
          </w:p>
        </w:tc>
      </w:tr>
      <w:tr>
        <w:tblPrEx>
          <w:tblCellMar>
            <w:top w:w="0" w:type="dxa"/>
            <w:left w:w="108" w:type="dxa"/>
            <w:bottom w:w="0" w:type="dxa"/>
            <w:right w:w="108" w:type="dxa"/>
          </w:tblCellMar>
        </w:tblPrEx>
        <w:trPr>
          <w:trHeight w:val="420" w:hRule="atLeast"/>
        </w:trPr>
        <w:tc>
          <w:tcPr>
            <w:tcW w:w="2386" w:type="dxa"/>
            <w:tcBorders>
              <w:top w:val="nil"/>
              <w:left w:val="single" w:color="auto" w:sz="4" w:space="0"/>
              <w:bottom w:val="single" w:color="auto" w:sz="4" w:space="0"/>
              <w:right w:val="single" w:color="auto" w:sz="4" w:space="0"/>
            </w:tcBorders>
            <w:shd w:val="clear" w:color="auto" w:fill="auto"/>
            <w:vAlign w:val="center"/>
          </w:tcPr>
          <w:p>
            <w:pPr>
              <w:widowControl/>
              <w:rPr>
                <w:rFonts w:hint="eastAsia" w:ascii="仿宋" w:hAnsi="仿宋" w:eastAsia="仿宋" w:cs="宋体"/>
                <w:color w:val="000000"/>
                <w:kern w:val="0"/>
                <w:sz w:val="18"/>
                <w:szCs w:val="18"/>
              </w:rPr>
            </w:pPr>
            <w:r>
              <w:rPr>
                <w:rFonts w:hint="eastAsia" w:ascii="仿宋" w:hAnsi="仿宋" w:eastAsia="仿宋" w:cs="宋体"/>
                <w:color w:val="000000"/>
                <w:kern w:val="0"/>
                <w:sz w:val="18"/>
                <w:szCs w:val="18"/>
                <w:lang w:val="zh-TW" w:eastAsia="zh-CN"/>
              </w:rPr>
              <w:t>您对基本公共卫生医疗人员待遇是否满意</w:t>
            </w:r>
          </w:p>
        </w:tc>
        <w:tc>
          <w:tcPr>
            <w:tcW w:w="148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32%</w:t>
            </w:r>
          </w:p>
        </w:tc>
        <w:tc>
          <w:tcPr>
            <w:tcW w:w="136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36%</w:t>
            </w:r>
          </w:p>
        </w:tc>
        <w:tc>
          <w:tcPr>
            <w:tcW w:w="1237"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22%</w:t>
            </w:r>
          </w:p>
        </w:tc>
        <w:tc>
          <w:tcPr>
            <w:tcW w:w="1027"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8%</w:t>
            </w:r>
          </w:p>
        </w:tc>
        <w:tc>
          <w:tcPr>
            <w:tcW w:w="135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2%</w:t>
            </w:r>
          </w:p>
        </w:tc>
      </w:tr>
      <w:tr>
        <w:tblPrEx>
          <w:tblCellMar>
            <w:top w:w="0" w:type="dxa"/>
            <w:left w:w="108" w:type="dxa"/>
            <w:bottom w:w="0" w:type="dxa"/>
            <w:right w:w="108" w:type="dxa"/>
          </w:tblCellMar>
        </w:tblPrEx>
        <w:trPr>
          <w:trHeight w:val="420" w:hRule="atLeast"/>
        </w:trPr>
        <w:tc>
          <w:tcPr>
            <w:tcW w:w="2386" w:type="dxa"/>
            <w:tcBorders>
              <w:top w:val="nil"/>
              <w:left w:val="single" w:color="auto" w:sz="4" w:space="0"/>
              <w:bottom w:val="single" w:color="auto" w:sz="4" w:space="0"/>
              <w:right w:val="single" w:color="auto" w:sz="4" w:space="0"/>
            </w:tcBorders>
            <w:shd w:val="clear" w:color="auto" w:fill="auto"/>
            <w:vAlign w:val="center"/>
          </w:tcPr>
          <w:p>
            <w:pPr>
              <w:widowControl/>
              <w:rPr>
                <w:rFonts w:hint="eastAsia" w:ascii="仿宋" w:hAnsi="仿宋" w:eastAsia="仿宋" w:cs="宋体"/>
                <w:color w:val="000000"/>
                <w:kern w:val="0"/>
                <w:sz w:val="18"/>
                <w:szCs w:val="18"/>
              </w:rPr>
            </w:pPr>
            <w:r>
              <w:rPr>
                <w:rFonts w:hint="eastAsia" w:ascii="仿宋" w:hAnsi="仿宋" w:eastAsia="仿宋" w:cs="宋体"/>
                <w:color w:val="000000"/>
                <w:kern w:val="0"/>
                <w:sz w:val="18"/>
                <w:szCs w:val="18"/>
                <w:lang w:val="zh-TW" w:eastAsia="zh-CN"/>
              </w:rPr>
              <w:t>您对基本公共卫生项目每年专业培训内容是否满意</w:t>
            </w:r>
          </w:p>
        </w:tc>
        <w:tc>
          <w:tcPr>
            <w:tcW w:w="148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47%</w:t>
            </w:r>
          </w:p>
        </w:tc>
        <w:tc>
          <w:tcPr>
            <w:tcW w:w="136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30%</w:t>
            </w:r>
          </w:p>
        </w:tc>
        <w:tc>
          <w:tcPr>
            <w:tcW w:w="1237"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20%</w:t>
            </w:r>
          </w:p>
        </w:tc>
        <w:tc>
          <w:tcPr>
            <w:tcW w:w="1027"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2%</w:t>
            </w:r>
          </w:p>
        </w:tc>
        <w:tc>
          <w:tcPr>
            <w:tcW w:w="135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1%</w:t>
            </w:r>
          </w:p>
        </w:tc>
      </w:tr>
    </w:tbl>
    <w:p>
      <w:pPr>
        <w:pStyle w:val="2"/>
        <w:rPr>
          <w:rFonts w:hint="eastAsia"/>
          <w:lang w:val="zh-TW" w:eastAsia="zh-CN"/>
        </w:rPr>
      </w:pPr>
    </w:p>
    <w:p>
      <w:pPr>
        <w:spacing w:line="560" w:lineRule="exact"/>
        <w:ind w:firstLine="560" w:firstLineChars="200"/>
        <w:jc w:val="center"/>
        <w:rPr>
          <w:rFonts w:hint="eastAsia" w:ascii="仿宋" w:hAnsi="仿宋" w:eastAsia="仿宋" w:cs="仿宋"/>
          <w:bCs/>
          <w:sz w:val="28"/>
          <w:szCs w:val="28"/>
          <w:lang w:val="zh-TW" w:eastAsia="zh-CN" w:bidi="ar"/>
        </w:rPr>
      </w:pPr>
      <w:r>
        <w:rPr>
          <w:rFonts w:hint="eastAsia" w:ascii="仿宋" w:hAnsi="仿宋" w:eastAsia="仿宋" w:cs="仿宋"/>
          <w:bCs/>
          <w:sz w:val="28"/>
          <w:szCs w:val="28"/>
          <w:lang w:val="zh-TW" w:eastAsia="zh-CN" w:bidi="ar"/>
        </w:rPr>
        <w:t>问卷调查满意度汇总计算表</w:t>
      </w:r>
    </w:p>
    <w:tbl>
      <w:tblPr>
        <w:tblStyle w:val="14"/>
        <w:tblW w:w="8804" w:type="dxa"/>
        <w:tblInd w:w="93" w:type="dxa"/>
        <w:tblLayout w:type="fixed"/>
        <w:tblCellMar>
          <w:top w:w="0" w:type="dxa"/>
          <w:left w:w="108" w:type="dxa"/>
          <w:bottom w:w="0" w:type="dxa"/>
          <w:right w:w="108" w:type="dxa"/>
        </w:tblCellMar>
      </w:tblPr>
      <w:tblGrid>
        <w:gridCol w:w="3080"/>
        <w:gridCol w:w="4306"/>
        <w:gridCol w:w="1418"/>
      </w:tblGrid>
      <w:tr>
        <w:tblPrEx>
          <w:tblCellMar>
            <w:top w:w="0" w:type="dxa"/>
            <w:left w:w="108" w:type="dxa"/>
            <w:bottom w:w="0" w:type="dxa"/>
            <w:right w:w="108" w:type="dxa"/>
          </w:tblCellMar>
        </w:tblPrEx>
        <w:trPr>
          <w:trHeight w:val="375" w:hRule="atLeast"/>
        </w:trPr>
        <w:tc>
          <w:tcPr>
            <w:tcW w:w="3080" w:type="dxa"/>
            <w:tcBorders>
              <w:top w:val="single" w:color="auto" w:sz="4" w:space="0"/>
              <w:left w:val="single" w:color="auto" w:sz="4" w:space="0"/>
              <w:bottom w:val="single" w:color="auto" w:sz="4" w:space="0"/>
              <w:right w:val="single" w:color="auto" w:sz="4" w:space="0"/>
            </w:tcBorders>
            <w:shd w:val="clear" w:color="000000" w:fill="D8D8D8"/>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题目</w:t>
            </w:r>
          </w:p>
        </w:tc>
        <w:tc>
          <w:tcPr>
            <w:tcW w:w="4306" w:type="dxa"/>
            <w:tcBorders>
              <w:top w:val="single" w:color="auto" w:sz="4" w:space="0"/>
              <w:left w:val="nil"/>
              <w:bottom w:val="single" w:color="auto" w:sz="4" w:space="0"/>
              <w:right w:val="single" w:color="000000" w:sz="4" w:space="0"/>
            </w:tcBorders>
            <w:shd w:val="clear" w:color="000000" w:fill="D8D8D8"/>
            <w:noWrap/>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满意度计算过程</w:t>
            </w:r>
          </w:p>
        </w:tc>
        <w:tc>
          <w:tcPr>
            <w:tcW w:w="1418" w:type="dxa"/>
            <w:tcBorders>
              <w:top w:val="single" w:color="auto" w:sz="4" w:space="0"/>
              <w:left w:val="nil"/>
              <w:bottom w:val="single" w:color="auto" w:sz="4" w:space="0"/>
              <w:right w:val="single" w:color="auto" w:sz="4" w:space="0"/>
            </w:tcBorders>
            <w:shd w:val="pct10" w:color="auto" w:fill="auto"/>
            <w:noWrap/>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平均满意度</w:t>
            </w:r>
          </w:p>
        </w:tc>
      </w:tr>
      <w:tr>
        <w:tblPrEx>
          <w:tblCellMar>
            <w:top w:w="0" w:type="dxa"/>
            <w:left w:w="108" w:type="dxa"/>
            <w:bottom w:w="0" w:type="dxa"/>
            <w:right w:w="108" w:type="dxa"/>
          </w:tblCellMar>
        </w:tblPrEx>
        <w:trPr>
          <w:trHeight w:val="420" w:hRule="atLeast"/>
        </w:trPr>
        <w:tc>
          <w:tcPr>
            <w:tcW w:w="3080" w:type="dxa"/>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宋体"/>
                <w:color w:val="000000"/>
                <w:kern w:val="0"/>
                <w:sz w:val="18"/>
                <w:szCs w:val="18"/>
              </w:rPr>
            </w:pPr>
            <w:r>
              <w:rPr>
                <w:rFonts w:hint="eastAsia" w:ascii="仿宋" w:hAnsi="仿宋" w:eastAsia="仿宋" w:cs="宋体"/>
                <w:color w:val="000000"/>
                <w:kern w:val="0"/>
                <w:sz w:val="18"/>
                <w:szCs w:val="18"/>
                <w:lang w:val="zh-TW" w:eastAsia="zh-CN"/>
              </w:rPr>
              <w:t>您对本院基本公共卫生服务管理工作是否满意</w:t>
            </w:r>
          </w:p>
        </w:tc>
        <w:tc>
          <w:tcPr>
            <w:tcW w:w="430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lang w:val="en-US" w:eastAsia="zh-CN"/>
              </w:rPr>
              <w:t>62</w:t>
            </w:r>
            <w:r>
              <w:rPr>
                <w:rFonts w:hint="eastAsia" w:ascii="宋体" w:hAnsi="宋体" w:cs="宋体"/>
                <w:color w:val="000000"/>
                <w:kern w:val="0"/>
                <w:sz w:val="18"/>
                <w:szCs w:val="18"/>
              </w:rPr>
              <w:t>%*1+</w:t>
            </w:r>
            <w:r>
              <w:rPr>
                <w:rFonts w:hint="eastAsia" w:ascii="宋体" w:hAnsi="宋体" w:cs="宋体"/>
                <w:color w:val="000000"/>
                <w:kern w:val="0"/>
                <w:sz w:val="18"/>
                <w:szCs w:val="18"/>
                <w:lang w:val="en-US" w:eastAsia="zh-CN"/>
              </w:rPr>
              <w:t>29%*0.8+8</w:t>
            </w:r>
            <w:r>
              <w:rPr>
                <w:rFonts w:hint="eastAsia" w:ascii="宋体" w:hAnsi="宋体" w:cs="宋体"/>
                <w:color w:val="000000"/>
                <w:kern w:val="0"/>
                <w:sz w:val="18"/>
                <w:szCs w:val="18"/>
              </w:rPr>
              <w:t>%*0.</w:t>
            </w:r>
            <w:r>
              <w:rPr>
                <w:rFonts w:hint="eastAsia" w:ascii="宋体" w:hAnsi="宋体" w:cs="宋体"/>
                <w:color w:val="000000"/>
                <w:kern w:val="0"/>
                <w:sz w:val="18"/>
                <w:szCs w:val="18"/>
                <w:lang w:val="en-US" w:eastAsia="zh-CN"/>
              </w:rPr>
              <w:t>6</w:t>
            </w:r>
            <w:r>
              <w:rPr>
                <w:rFonts w:hint="eastAsia" w:ascii="宋体" w:hAnsi="宋体" w:cs="宋体"/>
                <w:color w:val="000000"/>
                <w:kern w:val="0"/>
                <w:sz w:val="18"/>
                <w:szCs w:val="18"/>
              </w:rPr>
              <w:t>+</w:t>
            </w:r>
            <w:r>
              <w:rPr>
                <w:rFonts w:hint="eastAsia" w:ascii="宋体" w:hAnsi="宋体" w:cs="宋体"/>
                <w:color w:val="000000"/>
                <w:kern w:val="0"/>
                <w:sz w:val="18"/>
                <w:szCs w:val="18"/>
                <w:lang w:val="en-US" w:eastAsia="zh-CN"/>
              </w:rPr>
              <w:t>1%*0.3</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90.30%</w:t>
            </w:r>
          </w:p>
        </w:tc>
      </w:tr>
      <w:tr>
        <w:tblPrEx>
          <w:tblCellMar>
            <w:top w:w="0" w:type="dxa"/>
            <w:left w:w="108" w:type="dxa"/>
            <w:bottom w:w="0" w:type="dxa"/>
            <w:right w:w="108" w:type="dxa"/>
          </w:tblCellMar>
        </w:tblPrEx>
        <w:trPr>
          <w:trHeight w:val="420" w:hRule="atLeast"/>
        </w:trPr>
        <w:tc>
          <w:tcPr>
            <w:tcW w:w="3080" w:type="dxa"/>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宋体"/>
                <w:color w:val="000000"/>
                <w:kern w:val="0"/>
                <w:sz w:val="18"/>
                <w:szCs w:val="18"/>
              </w:rPr>
            </w:pPr>
            <w:r>
              <w:rPr>
                <w:rFonts w:hint="eastAsia" w:ascii="仿宋" w:hAnsi="仿宋" w:eastAsia="仿宋" w:cs="宋体"/>
                <w:color w:val="000000"/>
                <w:kern w:val="0"/>
                <w:sz w:val="18"/>
                <w:szCs w:val="18"/>
                <w:lang w:val="zh-TW" w:eastAsia="zh-CN"/>
              </w:rPr>
              <w:t>您对上级部门制定的绩效考核标准是否满意</w:t>
            </w:r>
          </w:p>
        </w:tc>
        <w:tc>
          <w:tcPr>
            <w:tcW w:w="430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default" w:ascii="宋体" w:hAnsi="宋体" w:cs="宋体" w:eastAsiaTheme="minorEastAsia"/>
                <w:color w:val="000000"/>
                <w:kern w:val="0"/>
                <w:sz w:val="18"/>
                <w:szCs w:val="18"/>
                <w:lang w:val="en-US" w:eastAsia="zh-CN"/>
              </w:rPr>
            </w:pPr>
            <w:r>
              <w:rPr>
                <w:rFonts w:hint="eastAsia" w:ascii="宋体" w:hAnsi="宋体" w:cs="宋体"/>
                <w:color w:val="000000"/>
                <w:kern w:val="0"/>
                <w:sz w:val="18"/>
                <w:szCs w:val="18"/>
                <w:lang w:val="en-US" w:eastAsia="zh-CN"/>
              </w:rPr>
              <w:t>41</w:t>
            </w:r>
            <w:r>
              <w:rPr>
                <w:rFonts w:hint="eastAsia" w:ascii="宋体" w:hAnsi="宋体" w:cs="宋体"/>
                <w:color w:val="000000"/>
                <w:kern w:val="0"/>
                <w:sz w:val="18"/>
                <w:szCs w:val="18"/>
              </w:rPr>
              <w:t>%*1+</w:t>
            </w:r>
            <w:r>
              <w:rPr>
                <w:rFonts w:hint="eastAsia" w:ascii="宋体" w:hAnsi="宋体" w:cs="宋体"/>
                <w:color w:val="000000"/>
                <w:kern w:val="0"/>
                <w:sz w:val="18"/>
                <w:szCs w:val="18"/>
                <w:lang w:val="en-US" w:eastAsia="zh-CN"/>
              </w:rPr>
              <w:t>34%*0.8+20</w:t>
            </w:r>
            <w:r>
              <w:rPr>
                <w:rFonts w:hint="eastAsia" w:ascii="宋体" w:hAnsi="宋体" w:cs="宋体"/>
                <w:color w:val="000000"/>
                <w:kern w:val="0"/>
                <w:sz w:val="18"/>
                <w:szCs w:val="18"/>
              </w:rPr>
              <w:t>%*0.</w:t>
            </w:r>
            <w:r>
              <w:rPr>
                <w:rFonts w:hint="eastAsia" w:ascii="宋体" w:hAnsi="宋体" w:cs="宋体"/>
                <w:color w:val="000000"/>
                <w:kern w:val="0"/>
                <w:sz w:val="18"/>
                <w:szCs w:val="18"/>
                <w:lang w:val="en-US" w:eastAsia="zh-CN"/>
              </w:rPr>
              <w:t>6</w:t>
            </w:r>
            <w:r>
              <w:rPr>
                <w:rFonts w:hint="eastAsia" w:ascii="宋体" w:hAnsi="宋体" w:cs="宋体"/>
                <w:color w:val="000000"/>
                <w:kern w:val="0"/>
                <w:sz w:val="18"/>
                <w:szCs w:val="18"/>
              </w:rPr>
              <w:t>+</w:t>
            </w:r>
            <w:r>
              <w:rPr>
                <w:rFonts w:hint="eastAsia" w:ascii="宋体" w:hAnsi="宋体" w:cs="宋体"/>
                <w:color w:val="000000"/>
                <w:kern w:val="0"/>
                <w:sz w:val="18"/>
                <w:szCs w:val="18"/>
                <w:lang w:val="en-US" w:eastAsia="zh-CN"/>
              </w:rPr>
              <w:t>4%*0.3+1%*0</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81.40%</w:t>
            </w:r>
          </w:p>
        </w:tc>
      </w:tr>
      <w:tr>
        <w:tblPrEx>
          <w:tblCellMar>
            <w:top w:w="0" w:type="dxa"/>
            <w:left w:w="108" w:type="dxa"/>
            <w:bottom w:w="0" w:type="dxa"/>
            <w:right w:w="108" w:type="dxa"/>
          </w:tblCellMar>
        </w:tblPrEx>
        <w:trPr>
          <w:trHeight w:val="420" w:hRule="atLeast"/>
        </w:trPr>
        <w:tc>
          <w:tcPr>
            <w:tcW w:w="3080" w:type="dxa"/>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宋体"/>
                <w:color w:val="000000"/>
                <w:kern w:val="0"/>
                <w:sz w:val="18"/>
                <w:szCs w:val="18"/>
              </w:rPr>
            </w:pPr>
            <w:r>
              <w:rPr>
                <w:rFonts w:hint="eastAsia" w:ascii="仿宋" w:hAnsi="仿宋" w:eastAsia="仿宋" w:cs="宋体"/>
                <w:color w:val="000000"/>
                <w:kern w:val="0"/>
                <w:sz w:val="18"/>
                <w:szCs w:val="18"/>
                <w:lang w:val="zh-TW" w:eastAsia="zh-CN"/>
              </w:rPr>
              <w:t>您对基本公共卫生目前的运行模式是否满意</w:t>
            </w:r>
          </w:p>
        </w:tc>
        <w:tc>
          <w:tcPr>
            <w:tcW w:w="430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lang w:val="en-US" w:eastAsia="zh-CN"/>
              </w:rPr>
              <w:t>42</w:t>
            </w:r>
            <w:r>
              <w:rPr>
                <w:rFonts w:hint="eastAsia" w:ascii="宋体" w:hAnsi="宋体" w:cs="宋体"/>
                <w:color w:val="000000"/>
                <w:kern w:val="0"/>
                <w:sz w:val="18"/>
                <w:szCs w:val="18"/>
              </w:rPr>
              <w:t>%*1+</w:t>
            </w:r>
            <w:r>
              <w:rPr>
                <w:rFonts w:hint="eastAsia" w:ascii="宋体" w:hAnsi="宋体" w:cs="宋体"/>
                <w:color w:val="000000"/>
                <w:kern w:val="0"/>
                <w:sz w:val="18"/>
                <w:szCs w:val="18"/>
                <w:lang w:val="en-US" w:eastAsia="zh-CN"/>
              </w:rPr>
              <w:t>39%*0.8+17</w:t>
            </w:r>
            <w:r>
              <w:rPr>
                <w:rFonts w:hint="eastAsia" w:ascii="宋体" w:hAnsi="宋体" w:cs="宋体"/>
                <w:color w:val="000000"/>
                <w:kern w:val="0"/>
                <w:sz w:val="18"/>
                <w:szCs w:val="18"/>
              </w:rPr>
              <w:t>%*0.</w:t>
            </w:r>
            <w:r>
              <w:rPr>
                <w:rFonts w:hint="eastAsia" w:ascii="宋体" w:hAnsi="宋体" w:cs="宋体"/>
                <w:color w:val="000000"/>
                <w:kern w:val="0"/>
                <w:sz w:val="18"/>
                <w:szCs w:val="18"/>
                <w:lang w:val="en-US" w:eastAsia="zh-CN"/>
              </w:rPr>
              <w:t>6</w:t>
            </w:r>
            <w:r>
              <w:rPr>
                <w:rFonts w:hint="eastAsia" w:ascii="宋体" w:hAnsi="宋体" w:cs="宋体"/>
                <w:color w:val="000000"/>
                <w:kern w:val="0"/>
                <w:sz w:val="18"/>
                <w:szCs w:val="18"/>
              </w:rPr>
              <w:t>+</w:t>
            </w:r>
            <w:r>
              <w:rPr>
                <w:rFonts w:hint="eastAsia" w:ascii="宋体" w:hAnsi="宋体" w:cs="宋体"/>
                <w:color w:val="000000"/>
                <w:kern w:val="0"/>
                <w:sz w:val="18"/>
                <w:szCs w:val="18"/>
                <w:lang w:val="en-US" w:eastAsia="zh-CN"/>
              </w:rPr>
              <w:t>2%*0.3+0%*0</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84.00%</w:t>
            </w:r>
          </w:p>
        </w:tc>
      </w:tr>
      <w:tr>
        <w:tblPrEx>
          <w:tblCellMar>
            <w:top w:w="0" w:type="dxa"/>
            <w:left w:w="108" w:type="dxa"/>
            <w:bottom w:w="0" w:type="dxa"/>
            <w:right w:w="108" w:type="dxa"/>
          </w:tblCellMar>
        </w:tblPrEx>
        <w:trPr>
          <w:trHeight w:val="420" w:hRule="atLeast"/>
        </w:trPr>
        <w:tc>
          <w:tcPr>
            <w:tcW w:w="3080" w:type="dxa"/>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宋体"/>
                <w:color w:val="000000"/>
                <w:kern w:val="0"/>
                <w:sz w:val="18"/>
                <w:szCs w:val="18"/>
              </w:rPr>
            </w:pPr>
            <w:r>
              <w:rPr>
                <w:rFonts w:hint="eastAsia" w:ascii="仿宋" w:hAnsi="仿宋" w:eastAsia="仿宋" w:cs="宋体"/>
                <w:color w:val="000000"/>
                <w:kern w:val="0"/>
                <w:sz w:val="18"/>
                <w:szCs w:val="18"/>
                <w:lang w:val="zh-TW" w:eastAsia="zh-CN"/>
              </w:rPr>
              <w:t>您对基本公共卫生医疗人员待遇是否满意</w:t>
            </w:r>
          </w:p>
        </w:tc>
        <w:tc>
          <w:tcPr>
            <w:tcW w:w="430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lang w:val="en-US" w:eastAsia="zh-CN"/>
              </w:rPr>
              <w:t>32</w:t>
            </w:r>
            <w:r>
              <w:rPr>
                <w:rFonts w:hint="eastAsia" w:ascii="宋体" w:hAnsi="宋体" w:cs="宋体"/>
                <w:color w:val="000000"/>
                <w:kern w:val="0"/>
                <w:sz w:val="18"/>
                <w:szCs w:val="18"/>
              </w:rPr>
              <w:t>%*1+</w:t>
            </w:r>
            <w:r>
              <w:rPr>
                <w:rFonts w:hint="eastAsia" w:ascii="宋体" w:hAnsi="宋体" w:cs="宋体"/>
                <w:color w:val="000000"/>
                <w:kern w:val="0"/>
                <w:sz w:val="18"/>
                <w:szCs w:val="18"/>
                <w:lang w:val="en-US" w:eastAsia="zh-CN"/>
              </w:rPr>
              <w:t>36%*0.8+22</w:t>
            </w:r>
            <w:r>
              <w:rPr>
                <w:rFonts w:hint="eastAsia" w:ascii="宋体" w:hAnsi="宋体" w:cs="宋体"/>
                <w:color w:val="000000"/>
                <w:kern w:val="0"/>
                <w:sz w:val="18"/>
                <w:szCs w:val="18"/>
              </w:rPr>
              <w:t>%*0.</w:t>
            </w:r>
            <w:r>
              <w:rPr>
                <w:rFonts w:hint="eastAsia" w:ascii="宋体" w:hAnsi="宋体" w:cs="宋体"/>
                <w:color w:val="000000"/>
                <w:kern w:val="0"/>
                <w:sz w:val="18"/>
                <w:szCs w:val="18"/>
                <w:lang w:val="en-US" w:eastAsia="zh-CN"/>
              </w:rPr>
              <w:t>6</w:t>
            </w:r>
            <w:r>
              <w:rPr>
                <w:rFonts w:hint="eastAsia" w:ascii="宋体" w:hAnsi="宋体" w:cs="宋体"/>
                <w:color w:val="000000"/>
                <w:kern w:val="0"/>
                <w:sz w:val="18"/>
                <w:szCs w:val="18"/>
              </w:rPr>
              <w:t>+</w:t>
            </w:r>
            <w:r>
              <w:rPr>
                <w:rFonts w:hint="eastAsia" w:ascii="宋体" w:hAnsi="宋体" w:cs="宋体"/>
                <w:color w:val="000000"/>
                <w:kern w:val="0"/>
                <w:sz w:val="18"/>
                <w:szCs w:val="18"/>
                <w:lang w:val="en-US" w:eastAsia="zh-CN"/>
              </w:rPr>
              <w:t>8%*0.3+2%*0</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76.40%</w:t>
            </w:r>
          </w:p>
        </w:tc>
      </w:tr>
      <w:tr>
        <w:tblPrEx>
          <w:tblCellMar>
            <w:top w:w="0" w:type="dxa"/>
            <w:left w:w="108" w:type="dxa"/>
            <w:bottom w:w="0" w:type="dxa"/>
            <w:right w:w="108" w:type="dxa"/>
          </w:tblCellMar>
        </w:tblPrEx>
        <w:trPr>
          <w:trHeight w:val="420" w:hRule="atLeast"/>
        </w:trPr>
        <w:tc>
          <w:tcPr>
            <w:tcW w:w="3080" w:type="dxa"/>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宋体"/>
                <w:color w:val="000000"/>
                <w:kern w:val="0"/>
                <w:sz w:val="18"/>
                <w:szCs w:val="18"/>
              </w:rPr>
            </w:pPr>
            <w:r>
              <w:rPr>
                <w:rFonts w:hint="eastAsia" w:ascii="仿宋" w:hAnsi="仿宋" w:eastAsia="仿宋" w:cs="宋体"/>
                <w:color w:val="000000"/>
                <w:kern w:val="0"/>
                <w:sz w:val="18"/>
                <w:szCs w:val="18"/>
                <w:lang w:val="zh-TW" w:eastAsia="zh-CN"/>
              </w:rPr>
              <w:t>您对基本公共卫生项目每年专业培训内容是否满意</w:t>
            </w:r>
          </w:p>
        </w:tc>
        <w:tc>
          <w:tcPr>
            <w:tcW w:w="430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lang w:val="en-US" w:eastAsia="zh-CN"/>
              </w:rPr>
              <w:t>47</w:t>
            </w:r>
            <w:r>
              <w:rPr>
                <w:rFonts w:hint="eastAsia" w:ascii="宋体" w:hAnsi="宋体" w:cs="宋体"/>
                <w:color w:val="000000"/>
                <w:kern w:val="0"/>
                <w:sz w:val="18"/>
                <w:szCs w:val="18"/>
              </w:rPr>
              <w:t>%*1+</w:t>
            </w:r>
            <w:r>
              <w:rPr>
                <w:rFonts w:hint="eastAsia" w:ascii="宋体" w:hAnsi="宋体" w:cs="宋体"/>
                <w:color w:val="000000"/>
                <w:kern w:val="0"/>
                <w:sz w:val="18"/>
                <w:szCs w:val="18"/>
                <w:lang w:val="en-US" w:eastAsia="zh-CN"/>
              </w:rPr>
              <w:t>30%*0.8+20</w:t>
            </w:r>
            <w:r>
              <w:rPr>
                <w:rFonts w:hint="eastAsia" w:ascii="宋体" w:hAnsi="宋体" w:cs="宋体"/>
                <w:color w:val="000000"/>
                <w:kern w:val="0"/>
                <w:sz w:val="18"/>
                <w:szCs w:val="18"/>
              </w:rPr>
              <w:t>%*0.</w:t>
            </w:r>
            <w:r>
              <w:rPr>
                <w:rFonts w:hint="eastAsia" w:ascii="宋体" w:hAnsi="宋体" w:cs="宋体"/>
                <w:color w:val="000000"/>
                <w:kern w:val="0"/>
                <w:sz w:val="18"/>
                <w:szCs w:val="18"/>
                <w:lang w:val="en-US" w:eastAsia="zh-CN"/>
              </w:rPr>
              <w:t>6</w:t>
            </w:r>
            <w:r>
              <w:rPr>
                <w:rFonts w:hint="eastAsia" w:ascii="宋体" w:hAnsi="宋体" w:cs="宋体"/>
                <w:color w:val="000000"/>
                <w:kern w:val="0"/>
                <w:sz w:val="18"/>
                <w:szCs w:val="18"/>
              </w:rPr>
              <w:t>+</w:t>
            </w:r>
            <w:r>
              <w:rPr>
                <w:rFonts w:hint="eastAsia" w:ascii="宋体" w:hAnsi="宋体" w:cs="宋体"/>
                <w:color w:val="000000"/>
                <w:kern w:val="0"/>
                <w:sz w:val="18"/>
                <w:szCs w:val="18"/>
                <w:lang w:val="en-US" w:eastAsia="zh-CN"/>
              </w:rPr>
              <w:t>2%*0.3+1%*0</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83.60%</w:t>
            </w:r>
          </w:p>
        </w:tc>
      </w:tr>
      <w:tr>
        <w:tblPrEx>
          <w:tblCellMar>
            <w:top w:w="0" w:type="dxa"/>
            <w:left w:w="108" w:type="dxa"/>
            <w:bottom w:w="0" w:type="dxa"/>
            <w:right w:w="108" w:type="dxa"/>
          </w:tblCellMar>
        </w:tblPrEx>
        <w:trPr>
          <w:trHeight w:val="450" w:hRule="atLeast"/>
        </w:trPr>
        <w:tc>
          <w:tcPr>
            <w:tcW w:w="3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总平均满意度</w:t>
            </w:r>
          </w:p>
        </w:tc>
        <w:tc>
          <w:tcPr>
            <w:tcW w:w="430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color w:val="000000"/>
                <w:kern w:val="0"/>
                <w:sz w:val="18"/>
                <w:szCs w:val="18"/>
                <w:lang w:val="en-US" w:eastAsia="zh-CN"/>
              </w:rPr>
            </w:pPr>
            <w:r>
              <w:rPr>
                <w:rFonts w:hint="eastAsia" w:ascii="宋体" w:hAnsi="宋体" w:cs="宋体"/>
                <w:color w:val="000000"/>
                <w:kern w:val="0"/>
                <w:sz w:val="18"/>
                <w:szCs w:val="18"/>
                <w:lang w:val="en-US" w:eastAsia="zh-CN"/>
              </w:rPr>
              <w:t>83.14%</w:t>
            </w:r>
          </w:p>
        </w:tc>
      </w:tr>
    </w:tbl>
    <w:p>
      <w:pPr>
        <w:spacing w:line="560" w:lineRule="exact"/>
        <w:ind w:firstLine="560" w:firstLineChars="200"/>
        <w:rPr>
          <w:rFonts w:hint="default" w:ascii="仿宋" w:hAnsi="仿宋" w:eastAsia="仿宋" w:cs="仿宋"/>
          <w:bCs/>
          <w:sz w:val="28"/>
          <w:szCs w:val="28"/>
          <w:lang w:val="en-US" w:eastAsia="zh-CN" w:bidi="ar"/>
        </w:rPr>
      </w:pPr>
    </w:p>
    <w:sectPr>
      <w:head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334141E-25C1-490A-B77E-DBD2D98896EE}"/>
  </w:font>
  <w:font w:name="Arial">
    <w:panose1 w:val="020B0604020202020204"/>
    <w:charset w:val="01"/>
    <w:family w:val="swiss"/>
    <w:pitch w:val="default"/>
    <w:sig w:usb0="E0002AFF" w:usb1="C0007843" w:usb2="00000009" w:usb3="00000000" w:csb0="400001FF" w:csb1="FFFF0000"/>
    <w:embedRegular r:id="rId2" w:fontKey="{358BDA86-8B7E-4D0B-B8B1-6E65AB9F16D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37CC7CC-D356-4780-9159-9CD51CF4218B}"/>
  </w:font>
  <w:font w:name="Symbol">
    <w:panose1 w:val="05050102010706020507"/>
    <w:charset w:val="02"/>
    <w:family w:val="roman"/>
    <w:pitch w:val="default"/>
    <w:sig w:usb0="00000000" w:usb1="00000000" w:usb2="00000000" w:usb3="00000000" w:csb0="80000000" w:csb1="00000000"/>
    <w:embedRegular r:id="rId4" w:fontKey="{5D747640-4AB6-4873-9D46-24F2BA9B4EE0}"/>
  </w:font>
  <w:font w:name="Calibri">
    <w:panose1 w:val="020F0502020204030204"/>
    <w:charset w:val="00"/>
    <w:family w:val="swiss"/>
    <w:pitch w:val="default"/>
    <w:sig w:usb0="E00002FF" w:usb1="4000ACFF" w:usb2="00000001" w:usb3="00000000" w:csb0="2000019F" w:csb1="00000000"/>
    <w:embedRegular r:id="rId5" w:fontKey="{782CF04F-158B-49F0-BE9C-32C59E8AB864}"/>
  </w:font>
  <w:font w:name="Cambria">
    <w:panose1 w:val="02040503050406030204"/>
    <w:charset w:val="00"/>
    <w:family w:val="roman"/>
    <w:pitch w:val="default"/>
    <w:sig w:usb0="E00002FF" w:usb1="400004FF" w:usb2="00000000" w:usb3="00000000" w:csb0="2000019F" w:csb1="00000000"/>
    <w:embedRegular r:id="rId6" w:fontKey="{668371A3-C642-4B2B-AB6F-AA84667DE22B}"/>
  </w:font>
  <w:font w:name="Calibri Light">
    <w:panose1 w:val="020F0302020204030204"/>
    <w:charset w:val="00"/>
    <w:family w:val="swiss"/>
    <w:pitch w:val="default"/>
    <w:sig w:usb0="A00002EF" w:usb1="4000207B" w:usb2="00000000" w:usb3="00000000" w:csb0="2000019F" w:csb1="00000000"/>
    <w:embedRegular r:id="rId7" w:fontKey="{651F45C7-5FDD-436B-8535-E67F34F6F290}"/>
  </w:font>
  <w:font w:name="仿宋_GB2312">
    <w:panose1 w:val="02010609030101010101"/>
    <w:charset w:val="86"/>
    <w:family w:val="roman"/>
    <w:pitch w:val="default"/>
    <w:sig w:usb0="00000001" w:usb1="080E0000" w:usb2="00000000" w:usb3="00000000" w:csb0="00040000" w:csb1="00000000"/>
    <w:embedRegular r:id="rId8" w:fontKey="{21046705-C80E-4F1D-A2F8-F85CB52630A8}"/>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embedRegular r:id="rId9" w:fontKey="{E7640CE8-8385-4E76-A385-4694C3CAF617}"/>
  </w:font>
  <w:font w:name="楷体_GB2312">
    <w:panose1 w:val="02010609030101010101"/>
    <w:charset w:val="86"/>
    <w:family w:val="modern"/>
    <w:pitch w:val="default"/>
    <w:sig w:usb0="00000001" w:usb1="080E0000" w:usb2="00000000" w:usb3="00000000" w:csb0="00040000" w:csb1="00000000"/>
    <w:embedRegular r:id="rId10" w:fontKey="{BAAD968A-C71C-4A05-8947-94723857EE46}"/>
  </w:font>
  <w:font w:name="微软雅黑">
    <w:panose1 w:val="020B0503020204020204"/>
    <w:charset w:val="86"/>
    <w:family w:val="auto"/>
    <w:pitch w:val="default"/>
    <w:sig w:usb0="80000287" w:usb1="280F3C52" w:usb2="00000016" w:usb3="00000000" w:csb0="0004001F" w:csb1="00000000"/>
    <w:embedRegular r:id="rId11" w:fontKey="{1F920BDE-46DB-4B4A-BE75-019E50C802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enter" w:pos="7039"/>
        <w:tab w:val="left" w:pos="7880"/>
      </w:tabs>
      <w:jc w:val="left"/>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enter" w:pos="7039"/>
        <w:tab w:val="left" w:pos="7880"/>
      </w:tabs>
      <w:jc w:val="left"/>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p>
    <w:pPr>
      <w:pBdr>
        <w:top w:val="none" w:color="auto" w:sz="0" w:space="0"/>
        <w:left w:val="none" w:color="auto" w:sz="0" w:space="0"/>
        <w:bottom w:val="none" w:color="auto" w:sz="0" w:space="0"/>
        <w:right w:val="none" w:color="auto" w:sz="0" w:space="0"/>
        <w:between w:val="none" w:color="auto" w:sz="0" w:space="0"/>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enter" w:pos="7039"/>
        <w:tab w:val="left" w:pos="7880"/>
      </w:tabs>
      <w:jc w:val="lef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Bdr>
        <w:top w:val="none" w:color="auto" w:sz="0" w:space="0"/>
        <w:left w:val="none" w:color="auto" w:sz="0" w:space="0"/>
        <w:bottom w:val="none" w:color="auto" w:sz="0" w:space="0"/>
        <w:right w:val="none" w:color="auto" w:sz="0" w:space="0"/>
        <w:between w:val="none" w:color="auto" w:sz="0" w:space="0"/>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enter" w:pos="7039"/>
        <w:tab w:val="left" w:pos="7880"/>
      </w:tabs>
      <w:jc w:val="left"/>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Bdr>
        <w:top w:val="none" w:color="auto" w:sz="0" w:space="0"/>
        <w:left w:val="none" w:color="auto" w:sz="0" w:space="0"/>
        <w:bottom w:val="none" w:color="auto" w:sz="0" w:space="0"/>
        <w:right w:val="none" w:color="auto" w:sz="0" w:space="0"/>
        <w:between w:val="none" w:color="auto" w:sz="0" w:space="0"/>
      </w:pBd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63</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8"/>
      </w:rPr>
    </w:pPr>
    <w:r>
      <w:fldChar w:fldCharType="begin"/>
    </w:r>
    <w:r>
      <w:rPr>
        <w:rStyle w:val="18"/>
      </w:rPr>
      <w:instrText xml:space="preserve">PAGE  </w:instrText>
    </w:r>
    <w:r>
      <w:fldChar w:fldCharType="end"/>
    </w:r>
  </w:p>
  <w:p>
    <w:pPr>
      <w:pStyle w:val="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10795" b="6350"/>
              <wp:wrapNone/>
              <wp:docPr id="2" name="文本框 2"/>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wps:spPr>
                    <wps:txbx>
                      <w:txbxContent>
                        <w:p>
                          <w:pPr>
                            <w:pStyle w:val="8"/>
                            <w:rPr>
                              <w:rFonts w:eastAsia="宋体"/>
                            </w:rPr>
                          </w:pPr>
                          <w:r>
                            <w:rPr>
                              <w:rFonts w:hint="eastAsia"/>
                            </w:rPr>
                            <w:fldChar w:fldCharType="begin"/>
                          </w:r>
                          <w:r>
                            <w:rPr>
                              <w:rFonts w:hint="eastAsia"/>
                            </w:rPr>
                            <w:instrText xml:space="preserve"> PAGE  \* MERGEFORMAT </w:instrText>
                          </w:r>
                          <w:r>
                            <w:rPr>
                              <w:rFonts w:hint="eastAsia"/>
                            </w:rPr>
                            <w:fldChar w:fldCharType="separate"/>
                          </w:r>
                          <w:r>
                            <w:t>61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AXiSjSAAAAAwEAAA8AAAAAAAAAAQAgAAAAIgAAAGRycy9kb3ducmV2LnhtbFBLAQIUABQA&#10;AAAIAIdO4kAk658JLwIAAFMEAAAOAAAAAAAAAAEAIAAAACEBAABkcnMvZTJvRG9jLnhtbFBLBQYA&#10;AAAABgAGAFkBAADCBQAAAAA=&#10;">
              <v:fill on="f" focussize="0,0"/>
              <v:stroke on="f" weight="0.5pt"/>
              <v:imagedata o:title=""/>
              <o:lock v:ext="edit" aspectratio="f"/>
              <v:textbox inset="0mm,0mm,0mm,0mm" style="mso-fit-shape-to-text:t;">
                <w:txbxContent>
                  <w:p>
                    <w:pPr>
                      <w:pStyle w:val="8"/>
                      <w:rPr>
                        <w:rFonts w:eastAsia="宋体"/>
                      </w:rPr>
                    </w:pPr>
                    <w:r>
                      <w:rPr>
                        <w:rFonts w:hint="eastAsia"/>
                      </w:rPr>
                      <w:fldChar w:fldCharType="begin"/>
                    </w:r>
                    <w:r>
                      <w:rPr>
                        <w:rFonts w:hint="eastAsia"/>
                      </w:rPr>
                      <w:instrText xml:space="preserve"> PAGE  \* MERGEFORMAT </w:instrText>
                    </w:r>
                    <w:r>
                      <w:rPr>
                        <w:rFonts w:hint="eastAsia"/>
                      </w:rPr>
                      <w:fldChar w:fldCharType="separate"/>
                    </w:r>
                    <w:r>
                      <w:t>61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2" w:leftChars="-1"/>
      <w:rPr>
        <w:rFonts w:hint="eastAsia"/>
        <w:b/>
        <w:sz w:val="20"/>
      </w:rPr>
    </w:pPr>
  </w:p>
  <w:p>
    <w:pPr>
      <w:pStyle w:val="9"/>
      <w:ind w:left="-2" w:leftChars="-1"/>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5" w:leftChars="-270" w:hanging="562" w:hangingChars="280"/>
      <w:rPr>
        <w:b/>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default" w:ascii="仿宋" w:hAnsi="仿宋" w:eastAsia="仿宋" w:cs="仿宋"/>
        <w:b/>
        <w:bCs/>
        <w:sz w:val="21"/>
        <w:szCs w:val="21"/>
        <w:lang w:val="en-US" w:eastAsia="zh-CN"/>
      </w:rPr>
    </w:pPr>
  </w:p>
  <w:p>
    <w:pPr>
      <w:pStyle w:val="9"/>
      <w:rPr>
        <w:rFonts w:hint="default" w:ascii="仿宋" w:hAnsi="仿宋" w:eastAsia="仿宋" w:cs="仿宋"/>
        <w:b/>
        <w:bCs/>
        <w:sz w:val="21"/>
        <w:szCs w:val="21"/>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default" w:ascii="仿宋" w:hAnsi="仿宋" w:eastAsia="仿宋" w:cs="仿宋"/>
        <w:b/>
        <w:bCs/>
        <w:sz w:val="21"/>
        <w:szCs w:val="21"/>
        <w:lang w:val="en-US" w:eastAsia="zh-CN"/>
      </w:rPr>
    </w:pPr>
  </w:p>
  <w:p>
    <w:pPr>
      <w:pStyle w:val="9"/>
      <w:rPr>
        <w:rFonts w:hint="default" w:ascii="仿宋" w:hAnsi="仿宋" w:eastAsia="仿宋" w:cs="仿宋"/>
        <w:b/>
        <w:bCs/>
        <w:sz w:val="21"/>
        <w:szCs w:val="21"/>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1F9625"/>
    <w:multiLevelType w:val="singleLevel"/>
    <w:tmpl w:val="AC1F9625"/>
    <w:lvl w:ilvl="0" w:tentative="0">
      <w:start w:val="4"/>
      <w:numFmt w:val="decimal"/>
      <w:suff w:val="nothing"/>
      <w:lvlText w:val="（%1）"/>
      <w:lvlJc w:val="left"/>
    </w:lvl>
  </w:abstractNum>
  <w:abstractNum w:abstractNumId="1">
    <w:nsid w:val="AEC14190"/>
    <w:multiLevelType w:val="singleLevel"/>
    <w:tmpl w:val="AEC14190"/>
    <w:lvl w:ilvl="0" w:tentative="0">
      <w:start w:val="2"/>
      <w:numFmt w:val="decimal"/>
      <w:suff w:val="nothing"/>
      <w:lvlText w:val="（%1）"/>
      <w:lvlJc w:val="left"/>
    </w:lvl>
  </w:abstractNum>
  <w:abstractNum w:abstractNumId="2">
    <w:nsid w:val="B5D262EE"/>
    <w:multiLevelType w:val="singleLevel"/>
    <w:tmpl w:val="B5D262EE"/>
    <w:lvl w:ilvl="0" w:tentative="0">
      <w:start w:val="1"/>
      <w:numFmt w:val="decimal"/>
      <w:lvlText w:val="%1."/>
      <w:lvlJc w:val="left"/>
      <w:pPr>
        <w:tabs>
          <w:tab w:val="left" w:pos="312"/>
        </w:tabs>
      </w:pPr>
    </w:lvl>
  </w:abstractNum>
  <w:abstractNum w:abstractNumId="3">
    <w:nsid w:val="E368DAD6"/>
    <w:multiLevelType w:val="singleLevel"/>
    <w:tmpl w:val="E368DAD6"/>
    <w:lvl w:ilvl="0" w:tentative="0">
      <w:start w:val="1"/>
      <w:numFmt w:val="chineseCounting"/>
      <w:suff w:val="nothing"/>
      <w:lvlText w:val="%1、"/>
      <w:lvlJc w:val="left"/>
      <w:rPr>
        <w:rFonts w:hint="eastAsia"/>
      </w:rPr>
    </w:lvl>
  </w:abstractNum>
  <w:abstractNum w:abstractNumId="4">
    <w:nsid w:val="ED573BFC"/>
    <w:multiLevelType w:val="singleLevel"/>
    <w:tmpl w:val="ED573BFC"/>
    <w:lvl w:ilvl="0" w:tentative="0">
      <w:start w:val="1"/>
      <w:numFmt w:val="decimal"/>
      <w:lvlText w:val="%1."/>
      <w:lvlJc w:val="left"/>
      <w:pPr>
        <w:tabs>
          <w:tab w:val="left" w:pos="312"/>
        </w:tabs>
      </w:pPr>
    </w:lvl>
  </w:abstractNum>
  <w:abstractNum w:abstractNumId="5">
    <w:nsid w:val="03C5C386"/>
    <w:multiLevelType w:val="singleLevel"/>
    <w:tmpl w:val="03C5C386"/>
    <w:lvl w:ilvl="0" w:tentative="0">
      <w:start w:val="1"/>
      <w:numFmt w:val="decimal"/>
      <w:lvlText w:val="%1."/>
      <w:lvlJc w:val="left"/>
      <w:pPr>
        <w:tabs>
          <w:tab w:val="left" w:pos="312"/>
        </w:tabs>
      </w:pPr>
    </w:lvl>
  </w:abstractNum>
  <w:abstractNum w:abstractNumId="6">
    <w:nsid w:val="1F6CD39A"/>
    <w:multiLevelType w:val="singleLevel"/>
    <w:tmpl w:val="1F6CD39A"/>
    <w:lvl w:ilvl="0" w:tentative="0">
      <w:start w:val="1"/>
      <w:numFmt w:val="decimal"/>
      <w:lvlText w:val="%1."/>
      <w:lvlJc w:val="left"/>
      <w:pPr>
        <w:tabs>
          <w:tab w:val="left" w:pos="312"/>
        </w:tabs>
      </w:pPr>
    </w:lvl>
  </w:abstractNum>
  <w:abstractNum w:abstractNumId="7">
    <w:nsid w:val="48CC0D31"/>
    <w:multiLevelType w:val="singleLevel"/>
    <w:tmpl w:val="48CC0D31"/>
    <w:lvl w:ilvl="0" w:tentative="0">
      <w:start w:val="1"/>
      <w:numFmt w:val="decimal"/>
      <w:lvlText w:val="%1."/>
      <w:lvlJc w:val="left"/>
      <w:pPr>
        <w:tabs>
          <w:tab w:val="left" w:pos="312"/>
        </w:tabs>
      </w:pPr>
    </w:lvl>
  </w:abstractNum>
  <w:abstractNum w:abstractNumId="8">
    <w:nsid w:val="7997646B"/>
    <w:multiLevelType w:val="singleLevel"/>
    <w:tmpl w:val="7997646B"/>
    <w:lvl w:ilvl="0" w:tentative="0">
      <w:start w:val="1"/>
      <w:numFmt w:val="decimal"/>
      <w:lvlText w:val="%1."/>
      <w:lvlJc w:val="left"/>
      <w:pPr>
        <w:tabs>
          <w:tab w:val="left" w:pos="312"/>
        </w:tabs>
      </w:pPr>
    </w:lvl>
  </w:abstractNum>
  <w:num w:numId="1">
    <w:abstractNumId w:val="3"/>
  </w:num>
  <w:num w:numId="2">
    <w:abstractNumId w:val="0"/>
  </w:num>
  <w:num w:numId="3">
    <w:abstractNumId w:val="1"/>
  </w:num>
  <w:num w:numId="4">
    <w:abstractNumId w:val="6"/>
  </w:num>
  <w:num w:numId="5">
    <w:abstractNumId w:val="2"/>
  </w:num>
  <w:num w:numId="6">
    <w:abstractNumId w:val="7"/>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1Y2I0MTNiYWJiOWYyZWE2NDdhM2FjNjc5NzVjZjQifQ=="/>
  </w:docVars>
  <w:rsids>
    <w:rsidRoot w:val="004578D0"/>
    <w:rsid w:val="00007E26"/>
    <w:rsid w:val="000109D0"/>
    <w:rsid w:val="00013E35"/>
    <w:rsid w:val="000203F9"/>
    <w:rsid w:val="00023882"/>
    <w:rsid w:val="000265C6"/>
    <w:rsid w:val="00026BFE"/>
    <w:rsid w:val="0003639F"/>
    <w:rsid w:val="00044B1B"/>
    <w:rsid w:val="0005190F"/>
    <w:rsid w:val="000546FA"/>
    <w:rsid w:val="000700F1"/>
    <w:rsid w:val="000849AE"/>
    <w:rsid w:val="00085072"/>
    <w:rsid w:val="0008552B"/>
    <w:rsid w:val="00086CE8"/>
    <w:rsid w:val="00091D83"/>
    <w:rsid w:val="000946D7"/>
    <w:rsid w:val="0009532F"/>
    <w:rsid w:val="000A1ABF"/>
    <w:rsid w:val="000A3B8C"/>
    <w:rsid w:val="000A5679"/>
    <w:rsid w:val="000A6BBE"/>
    <w:rsid w:val="000C1EF3"/>
    <w:rsid w:val="000C572B"/>
    <w:rsid w:val="000C5AEF"/>
    <w:rsid w:val="000C5BE7"/>
    <w:rsid w:val="000D6529"/>
    <w:rsid w:val="000E01EE"/>
    <w:rsid w:val="000F0834"/>
    <w:rsid w:val="00102584"/>
    <w:rsid w:val="00102FF6"/>
    <w:rsid w:val="00110EA7"/>
    <w:rsid w:val="00115226"/>
    <w:rsid w:val="00121CE6"/>
    <w:rsid w:val="001227EB"/>
    <w:rsid w:val="001340EB"/>
    <w:rsid w:val="00134F14"/>
    <w:rsid w:val="00136010"/>
    <w:rsid w:val="00140F70"/>
    <w:rsid w:val="00151D03"/>
    <w:rsid w:val="0015326A"/>
    <w:rsid w:val="00153830"/>
    <w:rsid w:val="00156BD3"/>
    <w:rsid w:val="00160DEB"/>
    <w:rsid w:val="00160F45"/>
    <w:rsid w:val="0016378B"/>
    <w:rsid w:val="001651D3"/>
    <w:rsid w:val="0016766A"/>
    <w:rsid w:val="0017041E"/>
    <w:rsid w:val="001759AC"/>
    <w:rsid w:val="00175AA6"/>
    <w:rsid w:val="001771FE"/>
    <w:rsid w:val="00177829"/>
    <w:rsid w:val="0018326C"/>
    <w:rsid w:val="00184773"/>
    <w:rsid w:val="001929F0"/>
    <w:rsid w:val="001947AA"/>
    <w:rsid w:val="00195C4D"/>
    <w:rsid w:val="001A1CFF"/>
    <w:rsid w:val="001A2E0F"/>
    <w:rsid w:val="001B12BE"/>
    <w:rsid w:val="001B2B0F"/>
    <w:rsid w:val="001B2C48"/>
    <w:rsid w:val="001B3D0D"/>
    <w:rsid w:val="001B67FB"/>
    <w:rsid w:val="001C05A1"/>
    <w:rsid w:val="001C28BD"/>
    <w:rsid w:val="001C2A4F"/>
    <w:rsid w:val="001C3207"/>
    <w:rsid w:val="001C412B"/>
    <w:rsid w:val="001C6801"/>
    <w:rsid w:val="001C7A67"/>
    <w:rsid w:val="001D11E5"/>
    <w:rsid w:val="001D23FC"/>
    <w:rsid w:val="001D535C"/>
    <w:rsid w:val="001E7967"/>
    <w:rsid w:val="001F0BD6"/>
    <w:rsid w:val="001F1309"/>
    <w:rsid w:val="001F2351"/>
    <w:rsid w:val="001F5B7F"/>
    <w:rsid w:val="001F69C5"/>
    <w:rsid w:val="00201781"/>
    <w:rsid w:val="00203278"/>
    <w:rsid w:val="00205D63"/>
    <w:rsid w:val="00205DF4"/>
    <w:rsid w:val="00206228"/>
    <w:rsid w:val="00210A72"/>
    <w:rsid w:val="002157F4"/>
    <w:rsid w:val="0022183C"/>
    <w:rsid w:val="0023185D"/>
    <w:rsid w:val="0024748E"/>
    <w:rsid w:val="00253F52"/>
    <w:rsid w:val="00261B27"/>
    <w:rsid w:val="00263A7D"/>
    <w:rsid w:val="00263B1B"/>
    <w:rsid w:val="00263BDB"/>
    <w:rsid w:val="00263D3B"/>
    <w:rsid w:val="00265BE9"/>
    <w:rsid w:val="00266A3E"/>
    <w:rsid w:val="0026753E"/>
    <w:rsid w:val="002735EB"/>
    <w:rsid w:val="00273835"/>
    <w:rsid w:val="00274356"/>
    <w:rsid w:val="00281897"/>
    <w:rsid w:val="00281BD7"/>
    <w:rsid w:val="00284999"/>
    <w:rsid w:val="00293A5C"/>
    <w:rsid w:val="0029453A"/>
    <w:rsid w:val="00295D7B"/>
    <w:rsid w:val="0029752E"/>
    <w:rsid w:val="002A587D"/>
    <w:rsid w:val="002A79B2"/>
    <w:rsid w:val="002B1768"/>
    <w:rsid w:val="002B25BC"/>
    <w:rsid w:val="002B365E"/>
    <w:rsid w:val="002B3C71"/>
    <w:rsid w:val="002B55BE"/>
    <w:rsid w:val="002B7E1C"/>
    <w:rsid w:val="002C43B4"/>
    <w:rsid w:val="002D2B1C"/>
    <w:rsid w:val="002D5122"/>
    <w:rsid w:val="002E138E"/>
    <w:rsid w:val="002E1D5B"/>
    <w:rsid w:val="002F016F"/>
    <w:rsid w:val="002F05EA"/>
    <w:rsid w:val="002F15EF"/>
    <w:rsid w:val="002F422A"/>
    <w:rsid w:val="002F5B4E"/>
    <w:rsid w:val="00306C93"/>
    <w:rsid w:val="00310BF3"/>
    <w:rsid w:val="0031540A"/>
    <w:rsid w:val="00316FB8"/>
    <w:rsid w:val="00317368"/>
    <w:rsid w:val="00325D7D"/>
    <w:rsid w:val="0032743E"/>
    <w:rsid w:val="00337F22"/>
    <w:rsid w:val="0034088D"/>
    <w:rsid w:val="00342BCF"/>
    <w:rsid w:val="00344D51"/>
    <w:rsid w:val="00351F92"/>
    <w:rsid w:val="003649DB"/>
    <w:rsid w:val="00373C0C"/>
    <w:rsid w:val="0037511B"/>
    <w:rsid w:val="00375682"/>
    <w:rsid w:val="003760C5"/>
    <w:rsid w:val="00390BEA"/>
    <w:rsid w:val="00390D7B"/>
    <w:rsid w:val="003A18F6"/>
    <w:rsid w:val="003A3485"/>
    <w:rsid w:val="003A5DAA"/>
    <w:rsid w:val="003A7A44"/>
    <w:rsid w:val="003B13C2"/>
    <w:rsid w:val="003B2B1E"/>
    <w:rsid w:val="003C2069"/>
    <w:rsid w:val="003C5B9B"/>
    <w:rsid w:val="003C7B90"/>
    <w:rsid w:val="003D11A3"/>
    <w:rsid w:val="003D29D4"/>
    <w:rsid w:val="003D2E9C"/>
    <w:rsid w:val="003D429F"/>
    <w:rsid w:val="003D4823"/>
    <w:rsid w:val="003D6B80"/>
    <w:rsid w:val="003E2418"/>
    <w:rsid w:val="003E3E22"/>
    <w:rsid w:val="003E6D88"/>
    <w:rsid w:val="003E784F"/>
    <w:rsid w:val="003F28FF"/>
    <w:rsid w:val="004008C0"/>
    <w:rsid w:val="004040A5"/>
    <w:rsid w:val="00407E73"/>
    <w:rsid w:val="004127E1"/>
    <w:rsid w:val="00414CD4"/>
    <w:rsid w:val="00421F48"/>
    <w:rsid w:val="00422CE5"/>
    <w:rsid w:val="00424169"/>
    <w:rsid w:val="004323F7"/>
    <w:rsid w:val="00437246"/>
    <w:rsid w:val="00437559"/>
    <w:rsid w:val="00443B2F"/>
    <w:rsid w:val="004471AE"/>
    <w:rsid w:val="004578D0"/>
    <w:rsid w:val="00461E32"/>
    <w:rsid w:val="0046623E"/>
    <w:rsid w:val="00467435"/>
    <w:rsid w:val="004755DC"/>
    <w:rsid w:val="00477DFD"/>
    <w:rsid w:val="004825A8"/>
    <w:rsid w:val="00485EDB"/>
    <w:rsid w:val="004879DA"/>
    <w:rsid w:val="004920B4"/>
    <w:rsid w:val="004940E8"/>
    <w:rsid w:val="00494480"/>
    <w:rsid w:val="00494AD5"/>
    <w:rsid w:val="004A1153"/>
    <w:rsid w:val="004A68DA"/>
    <w:rsid w:val="004B03B3"/>
    <w:rsid w:val="004B0E14"/>
    <w:rsid w:val="004B44ED"/>
    <w:rsid w:val="004D0876"/>
    <w:rsid w:val="004D0CF2"/>
    <w:rsid w:val="004D22A2"/>
    <w:rsid w:val="004D6E53"/>
    <w:rsid w:val="004E18C7"/>
    <w:rsid w:val="004E2FF4"/>
    <w:rsid w:val="004E6999"/>
    <w:rsid w:val="004F166A"/>
    <w:rsid w:val="004F3046"/>
    <w:rsid w:val="004F47EB"/>
    <w:rsid w:val="004F63EC"/>
    <w:rsid w:val="00507590"/>
    <w:rsid w:val="0051549F"/>
    <w:rsid w:val="0052261A"/>
    <w:rsid w:val="00533BE4"/>
    <w:rsid w:val="005405CC"/>
    <w:rsid w:val="00543BFF"/>
    <w:rsid w:val="0055022D"/>
    <w:rsid w:val="005527AA"/>
    <w:rsid w:val="00552DDD"/>
    <w:rsid w:val="0055775D"/>
    <w:rsid w:val="00563403"/>
    <w:rsid w:val="0056572E"/>
    <w:rsid w:val="00565C72"/>
    <w:rsid w:val="00565D2E"/>
    <w:rsid w:val="0056707C"/>
    <w:rsid w:val="00572454"/>
    <w:rsid w:val="00573E6E"/>
    <w:rsid w:val="0057759B"/>
    <w:rsid w:val="00586351"/>
    <w:rsid w:val="005868FE"/>
    <w:rsid w:val="005949E6"/>
    <w:rsid w:val="00594FB5"/>
    <w:rsid w:val="005A366A"/>
    <w:rsid w:val="005A73D0"/>
    <w:rsid w:val="005B0D24"/>
    <w:rsid w:val="005B7686"/>
    <w:rsid w:val="005C40DA"/>
    <w:rsid w:val="005D2AFA"/>
    <w:rsid w:val="005D3ED6"/>
    <w:rsid w:val="005E64D9"/>
    <w:rsid w:val="005F7E8D"/>
    <w:rsid w:val="006058F9"/>
    <w:rsid w:val="006065A1"/>
    <w:rsid w:val="0060665B"/>
    <w:rsid w:val="00616691"/>
    <w:rsid w:val="00617AF4"/>
    <w:rsid w:val="006221F0"/>
    <w:rsid w:val="006228EB"/>
    <w:rsid w:val="00624EAB"/>
    <w:rsid w:val="00625320"/>
    <w:rsid w:val="00650EDA"/>
    <w:rsid w:val="0065310E"/>
    <w:rsid w:val="00656BA8"/>
    <w:rsid w:val="00660683"/>
    <w:rsid w:val="0066265F"/>
    <w:rsid w:val="00664F54"/>
    <w:rsid w:val="00671F0D"/>
    <w:rsid w:val="006728FA"/>
    <w:rsid w:val="00674D90"/>
    <w:rsid w:val="00681118"/>
    <w:rsid w:val="00683FB8"/>
    <w:rsid w:val="006864C0"/>
    <w:rsid w:val="006918C0"/>
    <w:rsid w:val="00691C42"/>
    <w:rsid w:val="0069520D"/>
    <w:rsid w:val="006A52F8"/>
    <w:rsid w:val="006A7935"/>
    <w:rsid w:val="006B22AF"/>
    <w:rsid w:val="006B4E16"/>
    <w:rsid w:val="006B740F"/>
    <w:rsid w:val="006C0733"/>
    <w:rsid w:val="006C159B"/>
    <w:rsid w:val="006C495F"/>
    <w:rsid w:val="006D129F"/>
    <w:rsid w:val="006D3710"/>
    <w:rsid w:val="006E1EBB"/>
    <w:rsid w:val="006E6542"/>
    <w:rsid w:val="006E74BA"/>
    <w:rsid w:val="006E7C55"/>
    <w:rsid w:val="006F2771"/>
    <w:rsid w:val="00700EE5"/>
    <w:rsid w:val="00701055"/>
    <w:rsid w:val="00702485"/>
    <w:rsid w:val="00706382"/>
    <w:rsid w:val="0070657D"/>
    <w:rsid w:val="00711F6B"/>
    <w:rsid w:val="00720A69"/>
    <w:rsid w:val="007231EF"/>
    <w:rsid w:val="0072466E"/>
    <w:rsid w:val="0072696D"/>
    <w:rsid w:val="0072742C"/>
    <w:rsid w:val="00736A10"/>
    <w:rsid w:val="0074062B"/>
    <w:rsid w:val="00741062"/>
    <w:rsid w:val="007413C1"/>
    <w:rsid w:val="00743F99"/>
    <w:rsid w:val="00745357"/>
    <w:rsid w:val="00746876"/>
    <w:rsid w:val="00746A83"/>
    <w:rsid w:val="007474B3"/>
    <w:rsid w:val="00752772"/>
    <w:rsid w:val="00756066"/>
    <w:rsid w:val="0076341A"/>
    <w:rsid w:val="007647D6"/>
    <w:rsid w:val="00772599"/>
    <w:rsid w:val="00773817"/>
    <w:rsid w:val="00776D3F"/>
    <w:rsid w:val="0078208A"/>
    <w:rsid w:val="00783622"/>
    <w:rsid w:val="007908C0"/>
    <w:rsid w:val="00790B61"/>
    <w:rsid w:val="0079160B"/>
    <w:rsid w:val="00797CAB"/>
    <w:rsid w:val="007A0AD7"/>
    <w:rsid w:val="007A4299"/>
    <w:rsid w:val="007A4B97"/>
    <w:rsid w:val="007B19C4"/>
    <w:rsid w:val="007B2632"/>
    <w:rsid w:val="007B54C1"/>
    <w:rsid w:val="007C2AB5"/>
    <w:rsid w:val="007C3363"/>
    <w:rsid w:val="007C538F"/>
    <w:rsid w:val="007C68ED"/>
    <w:rsid w:val="007C7499"/>
    <w:rsid w:val="007C7F47"/>
    <w:rsid w:val="007D02B8"/>
    <w:rsid w:val="007D2EE0"/>
    <w:rsid w:val="007D4046"/>
    <w:rsid w:val="007E02B5"/>
    <w:rsid w:val="007E6C97"/>
    <w:rsid w:val="007E78F1"/>
    <w:rsid w:val="007F757C"/>
    <w:rsid w:val="008103BF"/>
    <w:rsid w:val="00811DBE"/>
    <w:rsid w:val="00813CF9"/>
    <w:rsid w:val="00823137"/>
    <w:rsid w:val="00830847"/>
    <w:rsid w:val="00830878"/>
    <w:rsid w:val="00830AB4"/>
    <w:rsid w:val="008341DB"/>
    <w:rsid w:val="00835552"/>
    <w:rsid w:val="00843EA6"/>
    <w:rsid w:val="008458A8"/>
    <w:rsid w:val="00851750"/>
    <w:rsid w:val="00852D57"/>
    <w:rsid w:val="00857020"/>
    <w:rsid w:val="008701EE"/>
    <w:rsid w:val="0087585A"/>
    <w:rsid w:val="00877C09"/>
    <w:rsid w:val="00890583"/>
    <w:rsid w:val="00895CBC"/>
    <w:rsid w:val="008A578D"/>
    <w:rsid w:val="008A6507"/>
    <w:rsid w:val="008A78B4"/>
    <w:rsid w:val="008B069B"/>
    <w:rsid w:val="008C10BD"/>
    <w:rsid w:val="008C5554"/>
    <w:rsid w:val="008D167C"/>
    <w:rsid w:val="008D45DA"/>
    <w:rsid w:val="008D46FC"/>
    <w:rsid w:val="008D4C23"/>
    <w:rsid w:val="008E047F"/>
    <w:rsid w:val="008F2D54"/>
    <w:rsid w:val="008F3591"/>
    <w:rsid w:val="008F3F55"/>
    <w:rsid w:val="008F480D"/>
    <w:rsid w:val="008F5F5E"/>
    <w:rsid w:val="009110A2"/>
    <w:rsid w:val="009218E3"/>
    <w:rsid w:val="009226C9"/>
    <w:rsid w:val="00923972"/>
    <w:rsid w:val="00926E9D"/>
    <w:rsid w:val="0093299F"/>
    <w:rsid w:val="00932B56"/>
    <w:rsid w:val="00937919"/>
    <w:rsid w:val="00940176"/>
    <w:rsid w:val="009429E6"/>
    <w:rsid w:val="0094320C"/>
    <w:rsid w:val="00946EDB"/>
    <w:rsid w:val="00955DFA"/>
    <w:rsid w:val="00962FCC"/>
    <w:rsid w:val="0096631A"/>
    <w:rsid w:val="009679A9"/>
    <w:rsid w:val="009710CA"/>
    <w:rsid w:val="00971130"/>
    <w:rsid w:val="00973883"/>
    <w:rsid w:val="00977379"/>
    <w:rsid w:val="0098790D"/>
    <w:rsid w:val="00990B71"/>
    <w:rsid w:val="00995604"/>
    <w:rsid w:val="00995F4B"/>
    <w:rsid w:val="009A0010"/>
    <w:rsid w:val="009A7C4E"/>
    <w:rsid w:val="009B0414"/>
    <w:rsid w:val="009B7541"/>
    <w:rsid w:val="009B7A01"/>
    <w:rsid w:val="009D12D7"/>
    <w:rsid w:val="009D3177"/>
    <w:rsid w:val="009D390A"/>
    <w:rsid w:val="009D65E3"/>
    <w:rsid w:val="009E7932"/>
    <w:rsid w:val="009F23AC"/>
    <w:rsid w:val="009F3729"/>
    <w:rsid w:val="009F3930"/>
    <w:rsid w:val="009F4179"/>
    <w:rsid w:val="00A10B55"/>
    <w:rsid w:val="00A13210"/>
    <w:rsid w:val="00A138B0"/>
    <w:rsid w:val="00A219AD"/>
    <w:rsid w:val="00A21B46"/>
    <w:rsid w:val="00A22E6B"/>
    <w:rsid w:val="00A30B3E"/>
    <w:rsid w:val="00A312B8"/>
    <w:rsid w:val="00A35896"/>
    <w:rsid w:val="00A4152F"/>
    <w:rsid w:val="00A41846"/>
    <w:rsid w:val="00A429C6"/>
    <w:rsid w:val="00A521D0"/>
    <w:rsid w:val="00A5438E"/>
    <w:rsid w:val="00A63619"/>
    <w:rsid w:val="00A63625"/>
    <w:rsid w:val="00A65FE0"/>
    <w:rsid w:val="00A70AD8"/>
    <w:rsid w:val="00A713ED"/>
    <w:rsid w:val="00A77A00"/>
    <w:rsid w:val="00A82573"/>
    <w:rsid w:val="00A86C83"/>
    <w:rsid w:val="00A93B30"/>
    <w:rsid w:val="00A94FB4"/>
    <w:rsid w:val="00A9522E"/>
    <w:rsid w:val="00AA04AB"/>
    <w:rsid w:val="00AA0BFD"/>
    <w:rsid w:val="00AA1201"/>
    <w:rsid w:val="00AA4843"/>
    <w:rsid w:val="00AA6790"/>
    <w:rsid w:val="00AB1CF9"/>
    <w:rsid w:val="00AB38E5"/>
    <w:rsid w:val="00AC031E"/>
    <w:rsid w:val="00AD05F7"/>
    <w:rsid w:val="00AD1746"/>
    <w:rsid w:val="00AD2641"/>
    <w:rsid w:val="00AD4F9D"/>
    <w:rsid w:val="00AE2DC2"/>
    <w:rsid w:val="00AE3686"/>
    <w:rsid w:val="00AF56BB"/>
    <w:rsid w:val="00B04EFB"/>
    <w:rsid w:val="00B10832"/>
    <w:rsid w:val="00B17AAF"/>
    <w:rsid w:val="00B21F74"/>
    <w:rsid w:val="00B26E16"/>
    <w:rsid w:val="00B27EFA"/>
    <w:rsid w:val="00B33E0E"/>
    <w:rsid w:val="00B36CE4"/>
    <w:rsid w:val="00B41019"/>
    <w:rsid w:val="00B44577"/>
    <w:rsid w:val="00B457D3"/>
    <w:rsid w:val="00B47EA4"/>
    <w:rsid w:val="00B51D0E"/>
    <w:rsid w:val="00B53DEA"/>
    <w:rsid w:val="00B610ED"/>
    <w:rsid w:val="00B63041"/>
    <w:rsid w:val="00B664F6"/>
    <w:rsid w:val="00B7024A"/>
    <w:rsid w:val="00B73493"/>
    <w:rsid w:val="00B75515"/>
    <w:rsid w:val="00B76B7B"/>
    <w:rsid w:val="00B770E1"/>
    <w:rsid w:val="00B823C1"/>
    <w:rsid w:val="00B82934"/>
    <w:rsid w:val="00B8454F"/>
    <w:rsid w:val="00B8468D"/>
    <w:rsid w:val="00B84A19"/>
    <w:rsid w:val="00B920F2"/>
    <w:rsid w:val="00B928A4"/>
    <w:rsid w:val="00B974BC"/>
    <w:rsid w:val="00BA219B"/>
    <w:rsid w:val="00BA257B"/>
    <w:rsid w:val="00BA75F8"/>
    <w:rsid w:val="00BB4E6B"/>
    <w:rsid w:val="00BB501F"/>
    <w:rsid w:val="00BB5060"/>
    <w:rsid w:val="00BB7BA9"/>
    <w:rsid w:val="00BB7F0B"/>
    <w:rsid w:val="00BB7F59"/>
    <w:rsid w:val="00BC03AB"/>
    <w:rsid w:val="00BC03AD"/>
    <w:rsid w:val="00BC3DFC"/>
    <w:rsid w:val="00BD4840"/>
    <w:rsid w:val="00BD52AF"/>
    <w:rsid w:val="00BD7E8D"/>
    <w:rsid w:val="00BE318B"/>
    <w:rsid w:val="00BE4D60"/>
    <w:rsid w:val="00BF1E86"/>
    <w:rsid w:val="00BF26BD"/>
    <w:rsid w:val="00BF3060"/>
    <w:rsid w:val="00BF4AF5"/>
    <w:rsid w:val="00BF5E33"/>
    <w:rsid w:val="00C05E1A"/>
    <w:rsid w:val="00C11264"/>
    <w:rsid w:val="00C11D61"/>
    <w:rsid w:val="00C1673E"/>
    <w:rsid w:val="00C22B18"/>
    <w:rsid w:val="00C2313D"/>
    <w:rsid w:val="00C254BA"/>
    <w:rsid w:val="00C3014F"/>
    <w:rsid w:val="00C34F9B"/>
    <w:rsid w:val="00C353C0"/>
    <w:rsid w:val="00C41513"/>
    <w:rsid w:val="00C41610"/>
    <w:rsid w:val="00C419AA"/>
    <w:rsid w:val="00C42902"/>
    <w:rsid w:val="00C42EFF"/>
    <w:rsid w:val="00C44063"/>
    <w:rsid w:val="00C50B77"/>
    <w:rsid w:val="00C534E2"/>
    <w:rsid w:val="00C5380B"/>
    <w:rsid w:val="00C56BFD"/>
    <w:rsid w:val="00C64FB1"/>
    <w:rsid w:val="00C67940"/>
    <w:rsid w:val="00C7723C"/>
    <w:rsid w:val="00C8606F"/>
    <w:rsid w:val="00C86DC5"/>
    <w:rsid w:val="00C953DD"/>
    <w:rsid w:val="00C97AB1"/>
    <w:rsid w:val="00CB1225"/>
    <w:rsid w:val="00CB1EFE"/>
    <w:rsid w:val="00CB21D7"/>
    <w:rsid w:val="00CB3E89"/>
    <w:rsid w:val="00CB546F"/>
    <w:rsid w:val="00CB6038"/>
    <w:rsid w:val="00CC0502"/>
    <w:rsid w:val="00CC4806"/>
    <w:rsid w:val="00CD423C"/>
    <w:rsid w:val="00CD7698"/>
    <w:rsid w:val="00CE03AA"/>
    <w:rsid w:val="00CE2615"/>
    <w:rsid w:val="00CE2D94"/>
    <w:rsid w:val="00CE4AF0"/>
    <w:rsid w:val="00CF24A5"/>
    <w:rsid w:val="00CF5CB9"/>
    <w:rsid w:val="00CF657F"/>
    <w:rsid w:val="00D0131C"/>
    <w:rsid w:val="00D0233B"/>
    <w:rsid w:val="00D041A2"/>
    <w:rsid w:val="00D07338"/>
    <w:rsid w:val="00D12EAE"/>
    <w:rsid w:val="00D1438B"/>
    <w:rsid w:val="00D15307"/>
    <w:rsid w:val="00D1744A"/>
    <w:rsid w:val="00D253E6"/>
    <w:rsid w:val="00D311C7"/>
    <w:rsid w:val="00D3383D"/>
    <w:rsid w:val="00D36AE3"/>
    <w:rsid w:val="00D37DCB"/>
    <w:rsid w:val="00D40AE8"/>
    <w:rsid w:val="00D40B9D"/>
    <w:rsid w:val="00D460FE"/>
    <w:rsid w:val="00D461F4"/>
    <w:rsid w:val="00D47B9D"/>
    <w:rsid w:val="00D5084D"/>
    <w:rsid w:val="00D50991"/>
    <w:rsid w:val="00D5124B"/>
    <w:rsid w:val="00D5545F"/>
    <w:rsid w:val="00D63FC6"/>
    <w:rsid w:val="00D652CE"/>
    <w:rsid w:val="00D65B86"/>
    <w:rsid w:val="00D677DA"/>
    <w:rsid w:val="00D67D78"/>
    <w:rsid w:val="00D72B97"/>
    <w:rsid w:val="00D73835"/>
    <w:rsid w:val="00D76F74"/>
    <w:rsid w:val="00D80B20"/>
    <w:rsid w:val="00D839C3"/>
    <w:rsid w:val="00DA3BDA"/>
    <w:rsid w:val="00DA669E"/>
    <w:rsid w:val="00DA7F08"/>
    <w:rsid w:val="00DB58A7"/>
    <w:rsid w:val="00DB625F"/>
    <w:rsid w:val="00DC12F0"/>
    <w:rsid w:val="00DC2258"/>
    <w:rsid w:val="00DC4F47"/>
    <w:rsid w:val="00DC5117"/>
    <w:rsid w:val="00DD25B6"/>
    <w:rsid w:val="00DD5934"/>
    <w:rsid w:val="00DE030D"/>
    <w:rsid w:val="00DE0731"/>
    <w:rsid w:val="00DF330B"/>
    <w:rsid w:val="00E012AE"/>
    <w:rsid w:val="00E106FB"/>
    <w:rsid w:val="00E22DC7"/>
    <w:rsid w:val="00E24101"/>
    <w:rsid w:val="00E24CF4"/>
    <w:rsid w:val="00E31FB1"/>
    <w:rsid w:val="00E40811"/>
    <w:rsid w:val="00E42215"/>
    <w:rsid w:val="00E4387C"/>
    <w:rsid w:val="00E478E5"/>
    <w:rsid w:val="00E51CD1"/>
    <w:rsid w:val="00E52EF3"/>
    <w:rsid w:val="00E56F62"/>
    <w:rsid w:val="00E60664"/>
    <w:rsid w:val="00E72F28"/>
    <w:rsid w:val="00E7594A"/>
    <w:rsid w:val="00E83755"/>
    <w:rsid w:val="00E861FC"/>
    <w:rsid w:val="00E90C49"/>
    <w:rsid w:val="00EA1104"/>
    <w:rsid w:val="00EA1316"/>
    <w:rsid w:val="00EA2AC4"/>
    <w:rsid w:val="00EA5866"/>
    <w:rsid w:val="00EB1140"/>
    <w:rsid w:val="00EB1BD3"/>
    <w:rsid w:val="00EB6CC5"/>
    <w:rsid w:val="00EC766B"/>
    <w:rsid w:val="00ED26FD"/>
    <w:rsid w:val="00EE1B95"/>
    <w:rsid w:val="00EE773D"/>
    <w:rsid w:val="00EF2637"/>
    <w:rsid w:val="00EF44F4"/>
    <w:rsid w:val="00EF6D0F"/>
    <w:rsid w:val="00F0109B"/>
    <w:rsid w:val="00F01A31"/>
    <w:rsid w:val="00F02969"/>
    <w:rsid w:val="00F02CE7"/>
    <w:rsid w:val="00F03A9C"/>
    <w:rsid w:val="00F04DC8"/>
    <w:rsid w:val="00F0596F"/>
    <w:rsid w:val="00F078D6"/>
    <w:rsid w:val="00F079EC"/>
    <w:rsid w:val="00F1158F"/>
    <w:rsid w:val="00F13D85"/>
    <w:rsid w:val="00F22536"/>
    <w:rsid w:val="00F24D5F"/>
    <w:rsid w:val="00F254F9"/>
    <w:rsid w:val="00F341D9"/>
    <w:rsid w:val="00F3424B"/>
    <w:rsid w:val="00F35242"/>
    <w:rsid w:val="00F42145"/>
    <w:rsid w:val="00F47485"/>
    <w:rsid w:val="00F56AD9"/>
    <w:rsid w:val="00F6373B"/>
    <w:rsid w:val="00F66BE8"/>
    <w:rsid w:val="00F7113F"/>
    <w:rsid w:val="00F7522A"/>
    <w:rsid w:val="00F8209E"/>
    <w:rsid w:val="00F831CA"/>
    <w:rsid w:val="00FA0D78"/>
    <w:rsid w:val="00FA189C"/>
    <w:rsid w:val="00FA22D4"/>
    <w:rsid w:val="00FA39EF"/>
    <w:rsid w:val="00FA6813"/>
    <w:rsid w:val="00FB0EDA"/>
    <w:rsid w:val="00FB2AA8"/>
    <w:rsid w:val="00FB2E41"/>
    <w:rsid w:val="00FB3FA6"/>
    <w:rsid w:val="00FB4E3B"/>
    <w:rsid w:val="00FB5955"/>
    <w:rsid w:val="00FB6022"/>
    <w:rsid w:val="00FB6AAB"/>
    <w:rsid w:val="00FB7E0A"/>
    <w:rsid w:val="00FC6DB3"/>
    <w:rsid w:val="00FD0AE7"/>
    <w:rsid w:val="00FD0CFF"/>
    <w:rsid w:val="00FD184B"/>
    <w:rsid w:val="00FD3C34"/>
    <w:rsid w:val="00FE1EA7"/>
    <w:rsid w:val="00FE2F0A"/>
    <w:rsid w:val="00FE3ED7"/>
    <w:rsid w:val="00FE45AF"/>
    <w:rsid w:val="00FE4699"/>
    <w:rsid w:val="00FE61A0"/>
    <w:rsid w:val="00FF4590"/>
    <w:rsid w:val="013D4F08"/>
    <w:rsid w:val="013E10F2"/>
    <w:rsid w:val="01417BAE"/>
    <w:rsid w:val="01457112"/>
    <w:rsid w:val="015A204C"/>
    <w:rsid w:val="015C07B8"/>
    <w:rsid w:val="016F2472"/>
    <w:rsid w:val="017060B5"/>
    <w:rsid w:val="0178486E"/>
    <w:rsid w:val="018204D4"/>
    <w:rsid w:val="01AB4D18"/>
    <w:rsid w:val="01B617FE"/>
    <w:rsid w:val="01BD62C2"/>
    <w:rsid w:val="01BF6BF6"/>
    <w:rsid w:val="01D03B28"/>
    <w:rsid w:val="01E45471"/>
    <w:rsid w:val="01EA5590"/>
    <w:rsid w:val="022874E2"/>
    <w:rsid w:val="023A15D6"/>
    <w:rsid w:val="02584876"/>
    <w:rsid w:val="025F5B40"/>
    <w:rsid w:val="026C0D4F"/>
    <w:rsid w:val="02775101"/>
    <w:rsid w:val="02882569"/>
    <w:rsid w:val="02976401"/>
    <w:rsid w:val="029918F3"/>
    <w:rsid w:val="02A212ED"/>
    <w:rsid w:val="02A42E98"/>
    <w:rsid w:val="02B912F0"/>
    <w:rsid w:val="02D728B6"/>
    <w:rsid w:val="02D76D90"/>
    <w:rsid w:val="02F07B0B"/>
    <w:rsid w:val="03041E08"/>
    <w:rsid w:val="03097CE4"/>
    <w:rsid w:val="031031BC"/>
    <w:rsid w:val="03181010"/>
    <w:rsid w:val="03255DA3"/>
    <w:rsid w:val="03287317"/>
    <w:rsid w:val="03300546"/>
    <w:rsid w:val="03306FAD"/>
    <w:rsid w:val="03340F14"/>
    <w:rsid w:val="03383D02"/>
    <w:rsid w:val="033F2847"/>
    <w:rsid w:val="034912F4"/>
    <w:rsid w:val="034E2E5D"/>
    <w:rsid w:val="037E1EBE"/>
    <w:rsid w:val="0396460A"/>
    <w:rsid w:val="03A1453D"/>
    <w:rsid w:val="03AD3501"/>
    <w:rsid w:val="03B525CB"/>
    <w:rsid w:val="03E16D23"/>
    <w:rsid w:val="03E346CE"/>
    <w:rsid w:val="03FC3F18"/>
    <w:rsid w:val="04250A80"/>
    <w:rsid w:val="04325B8F"/>
    <w:rsid w:val="043B7D1D"/>
    <w:rsid w:val="045146D4"/>
    <w:rsid w:val="04522082"/>
    <w:rsid w:val="0455094F"/>
    <w:rsid w:val="045A5DF9"/>
    <w:rsid w:val="046218A0"/>
    <w:rsid w:val="04644B9E"/>
    <w:rsid w:val="04645954"/>
    <w:rsid w:val="04662E78"/>
    <w:rsid w:val="046A77C8"/>
    <w:rsid w:val="04714E20"/>
    <w:rsid w:val="04917685"/>
    <w:rsid w:val="049D399F"/>
    <w:rsid w:val="04B25C9A"/>
    <w:rsid w:val="04B546DF"/>
    <w:rsid w:val="04BB6BDF"/>
    <w:rsid w:val="04D016AE"/>
    <w:rsid w:val="04E75C76"/>
    <w:rsid w:val="04EF1100"/>
    <w:rsid w:val="04FB2017"/>
    <w:rsid w:val="04FD0C81"/>
    <w:rsid w:val="05012D45"/>
    <w:rsid w:val="05054188"/>
    <w:rsid w:val="05272950"/>
    <w:rsid w:val="05282BE4"/>
    <w:rsid w:val="05287228"/>
    <w:rsid w:val="05373C44"/>
    <w:rsid w:val="053C51FD"/>
    <w:rsid w:val="05767F5C"/>
    <w:rsid w:val="058C3CDF"/>
    <w:rsid w:val="059E2F85"/>
    <w:rsid w:val="059E4FAD"/>
    <w:rsid w:val="05DB2B04"/>
    <w:rsid w:val="05F44731"/>
    <w:rsid w:val="05F61669"/>
    <w:rsid w:val="06144F2F"/>
    <w:rsid w:val="062742AB"/>
    <w:rsid w:val="062C4BD5"/>
    <w:rsid w:val="0632461C"/>
    <w:rsid w:val="06337B2C"/>
    <w:rsid w:val="0639533A"/>
    <w:rsid w:val="063E443F"/>
    <w:rsid w:val="0642146E"/>
    <w:rsid w:val="0682095A"/>
    <w:rsid w:val="0690040F"/>
    <w:rsid w:val="06CF50B0"/>
    <w:rsid w:val="06DC543E"/>
    <w:rsid w:val="06EB2A50"/>
    <w:rsid w:val="07016D5D"/>
    <w:rsid w:val="07080514"/>
    <w:rsid w:val="07087B5E"/>
    <w:rsid w:val="071C0DD2"/>
    <w:rsid w:val="07205AD1"/>
    <w:rsid w:val="07284121"/>
    <w:rsid w:val="07295DCC"/>
    <w:rsid w:val="072D11F0"/>
    <w:rsid w:val="076E42E1"/>
    <w:rsid w:val="078576EC"/>
    <w:rsid w:val="07886F03"/>
    <w:rsid w:val="078D634D"/>
    <w:rsid w:val="07A028AF"/>
    <w:rsid w:val="07D47366"/>
    <w:rsid w:val="07E41CA6"/>
    <w:rsid w:val="07EB7EDB"/>
    <w:rsid w:val="08071669"/>
    <w:rsid w:val="08090C5E"/>
    <w:rsid w:val="08090E49"/>
    <w:rsid w:val="081524BC"/>
    <w:rsid w:val="081C3BDF"/>
    <w:rsid w:val="082F415C"/>
    <w:rsid w:val="083640AB"/>
    <w:rsid w:val="083D7FB1"/>
    <w:rsid w:val="084A057A"/>
    <w:rsid w:val="08546128"/>
    <w:rsid w:val="08594A91"/>
    <w:rsid w:val="085E5CE7"/>
    <w:rsid w:val="08605E95"/>
    <w:rsid w:val="08664E7C"/>
    <w:rsid w:val="086F6DFE"/>
    <w:rsid w:val="08750A00"/>
    <w:rsid w:val="08891330"/>
    <w:rsid w:val="08A42C41"/>
    <w:rsid w:val="08AE3891"/>
    <w:rsid w:val="08BF4408"/>
    <w:rsid w:val="08D33E96"/>
    <w:rsid w:val="08DA7104"/>
    <w:rsid w:val="08E400E6"/>
    <w:rsid w:val="08F92C1C"/>
    <w:rsid w:val="091051B5"/>
    <w:rsid w:val="0912554E"/>
    <w:rsid w:val="09164770"/>
    <w:rsid w:val="091A1CBF"/>
    <w:rsid w:val="091E7623"/>
    <w:rsid w:val="093F12CC"/>
    <w:rsid w:val="09540127"/>
    <w:rsid w:val="097344F0"/>
    <w:rsid w:val="09882EE3"/>
    <w:rsid w:val="09933870"/>
    <w:rsid w:val="099C4C3E"/>
    <w:rsid w:val="09A109BD"/>
    <w:rsid w:val="09AA4600"/>
    <w:rsid w:val="09AC3D67"/>
    <w:rsid w:val="09B66AA5"/>
    <w:rsid w:val="09B909BA"/>
    <w:rsid w:val="09C12EF1"/>
    <w:rsid w:val="09CD59A4"/>
    <w:rsid w:val="09D8022C"/>
    <w:rsid w:val="09DD1E4C"/>
    <w:rsid w:val="09DF08C6"/>
    <w:rsid w:val="09E76D33"/>
    <w:rsid w:val="0A0534AA"/>
    <w:rsid w:val="0A0B4D27"/>
    <w:rsid w:val="0A1B375E"/>
    <w:rsid w:val="0A1D77CC"/>
    <w:rsid w:val="0A5D6839"/>
    <w:rsid w:val="0A620893"/>
    <w:rsid w:val="0A666151"/>
    <w:rsid w:val="0A697CE1"/>
    <w:rsid w:val="0A6E6839"/>
    <w:rsid w:val="0A7447E1"/>
    <w:rsid w:val="0AA37AAF"/>
    <w:rsid w:val="0ABA07FF"/>
    <w:rsid w:val="0AE546D7"/>
    <w:rsid w:val="0AEB64EE"/>
    <w:rsid w:val="0AF0175E"/>
    <w:rsid w:val="0AF83EAD"/>
    <w:rsid w:val="0B1820E3"/>
    <w:rsid w:val="0B1978A2"/>
    <w:rsid w:val="0B1C3218"/>
    <w:rsid w:val="0B502FB9"/>
    <w:rsid w:val="0B5C004E"/>
    <w:rsid w:val="0B614C7A"/>
    <w:rsid w:val="0B6456EE"/>
    <w:rsid w:val="0B67508E"/>
    <w:rsid w:val="0B712D3B"/>
    <w:rsid w:val="0BA147B4"/>
    <w:rsid w:val="0BB12F75"/>
    <w:rsid w:val="0BB90F07"/>
    <w:rsid w:val="0BD10E47"/>
    <w:rsid w:val="0BEC0B64"/>
    <w:rsid w:val="0BEE3BC5"/>
    <w:rsid w:val="0BF82BDF"/>
    <w:rsid w:val="0BF85E41"/>
    <w:rsid w:val="0BFB6F29"/>
    <w:rsid w:val="0C086DD2"/>
    <w:rsid w:val="0C094D81"/>
    <w:rsid w:val="0C2A5329"/>
    <w:rsid w:val="0C4129FD"/>
    <w:rsid w:val="0C4B2DE4"/>
    <w:rsid w:val="0C555F63"/>
    <w:rsid w:val="0C637C2D"/>
    <w:rsid w:val="0C646700"/>
    <w:rsid w:val="0C6D1150"/>
    <w:rsid w:val="0C7E1CCF"/>
    <w:rsid w:val="0C9C6433"/>
    <w:rsid w:val="0CA77BE7"/>
    <w:rsid w:val="0CB246DE"/>
    <w:rsid w:val="0CB45DDD"/>
    <w:rsid w:val="0CB80806"/>
    <w:rsid w:val="0CC30693"/>
    <w:rsid w:val="0CCA4CCE"/>
    <w:rsid w:val="0CD21DEF"/>
    <w:rsid w:val="0CDA59CB"/>
    <w:rsid w:val="0CF32581"/>
    <w:rsid w:val="0CF34C33"/>
    <w:rsid w:val="0CF91A9F"/>
    <w:rsid w:val="0D14267B"/>
    <w:rsid w:val="0D1B2BE5"/>
    <w:rsid w:val="0D1F14C6"/>
    <w:rsid w:val="0D222747"/>
    <w:rsid w:val="0D23746A"/>
    <w:rsid w:val="0D256AE3"/>
    <w:rsid w:val="0D3F4270"/>
    <w:rsid w:val="0D443459"/>
    <w:rsid w:val="0D4E4E7B"/>
    <w:rsid w:val="0D6B26D8"/>
    <w:rsid w:val="0D6B5C35"/>
    <w:rsid w:val="0D7167A1"/>
    <w:rsid w:val="0DA05CB7"/>
    <w:rsid w:val="0DA4657B"/>
    <w:rsid w:val="0DB41CCC"/>
    <w:rsid w:val="0DC37B00"/>
    <w:rsid w:val="0DC82122"/>
    <w:rsid w:val="0DD659A2"/>
    <w:rsid w:val="0DDA6FA7"/>
    <w:rsid w:val="0DDF5914"/>
    <w:rsid w:val="0DE66B30"/>
    <w:rsid w:val="0DE93306"/>
    <w:rsid w:val="0DFE1268"/>
    <w:rsid w:val="0E0237E8"/>
    <w:rsid w:val="0E0C408F"/>
    <w:rsid w:val="0E235898"/>
    <w:rsid w:val="0E2B1B0B"/>
    <w:rsid w:val="0E6E7224"/>
    <w:rsid w:val="0E7960DE"/>
    <w:rsid w:val="0E96687D"/>
    <w:rsid w:val="0EA134DA"/>
    <w:rsid w:val="0EA36411"/>
    <w:rsid w:val="0EB02E34"/>
    <w:rsid w:val="0EB54D7C"/>
    <w:rsid w:val="0EBE0C37"/>
    <w:rsid w:val="0EC7599E"/>
    <w:rsid w:val="0EE26C7F"/>
    <w:rsid w:val="0F065690"/>
    <w:rsid w:val="0F253B77"/>
    <w:rsid w:val="0F440619"/>
    <w:rsid w:val="0F4D0BD7"/>
    <w:rsid w:val="0F4D1981"/>
    <w:rsid w:val="0F652DFC"/>
    <w:rsid w:val="0F6C38A5"/>
    <w:rsid w:val="0F6E7AD1"/>
    <w:rsid w:val="0F737522"/>
    <w:rsid w:val="0F757D32"/>
    <w:rsid w:val="0F7A79FB"/>
    <w:rsid w:val="0F7C6133"/>
    <w:rsid w:val="0FA0217B"/>
    <w:rsid w:val="0FA03C9C"/>
    <w:rsid w:val="0FA12ED3"/>
    <w:rsid w:val="0FBA0A61"/>
    <w:rsid w:val="0FCC4DC5"/>
    <w:rsid w:val="0FD25416"/>
    <w:rsid w:val="0FD33191"/>
    <w:rsid w:val="0FD90CBA"/>
    <w:rsid w:val="0FE66008"/>
    <w:rsid w:val="0FF02904"/>
    <w:rsid w:val="0FF60E38"/>
    <w:rsid w:val="0FFE6EF1"/>
    <w:rsid w:val="10092F04"/>
    <w:rsid w:val="102F656A"/>
    <w:rsid w:val="103843DD"/>
    <w:rsid w:val="104A0EFA"/>
    <w:rsid w:val="105F7457"/>
    <w:rsid w:val="10655E21"/>
    <w:rsid w:val="106E6D7D"/>
    <w:rsid w:val="107B3C11"/>
    <w:rsid w:val="107C3CC8"/>
    <w:rsid w:val="10826C3B"/>
    <w:rsid w:val="108D13E3"/>
    <w:rsid w:val="108E0F77"/>
    <w:rsid w:val="10913D1C"/>
    <w:rsid w:val="10A412A2"/>
    <w:rsid w:val="10B30683"/>
    <w:rsid w:val="10BD63F2"/>
    <w:rsid w:val="10E11519"/>
    <w:rsid w:val="10F670F4"/>
    <w:rsid w:val="11003BBA"/>
    <w:rsid w:val="11027A3E"/>
    <w:rsid w:val="11091994"/>
    <w:rsid w:val="110B11F3"/>
    <w:rsid w:val="11120161"/>
    <w:rsid w:val="111377D7"/>
    <w:rsid w:val="11160C6C"/>
    <w:rsid w:val="111E2316"/>
    <w:rsid w:val="111E5E84"/>
    <w:rsid w:val="112A68E8"/>
    <w:rsid w:val="11304AF9"/>
    <w:rsid w:val="11473779"/>
    <w:rsid w:val="114C598B"/>
    <w:rsid w:val="11535F56"/>
    <w:rsid w:val="115823BD"/>
    <w:rsid w:val="116941F5"/>
    <w:rsid w:val="11694F80"/>
    <w:rsid w:val="116B2421"/>
    <w:rsid w:val="118865C7"/>
    <w:rsid w:val="118F695B"/>
    <w:rsid w:val="11953ED2"/>
    <w:rsid w:val="11992847"/>
    <w:rsid w:val="11A53CF2"/>
    <w:rsid w:val="11B73443"/>
    <w:rsid w:val="11D2799F"/>
    <w:rsid w:val="11D3241F"/>
    <w:rsid w:val="11DE67FD"/>
    <w:rsid w:val="11E85A89"/>
    <w:rsid w:val="11ED42CF"/>
    <w:rsid w:val="11EF49FE"/>
    <w:rsid w:val="11F04192"/>
    <w:rsid w:val="12162E4C"/>
    <w:rsid w:val="12210E57"/>
    <w:rsid w:val="123A248E"/>
    <w:rsid w:val="125B6E8B"/>
    <w:rsid w:val="125C1B96"/>
    <w:rsid w:val="126B40D7"/>
    <w:rsid w:val="126F69A4"/>
    <w:rsid w:val="12783F4D"/>
    <w:rsid w:val="12843A8C"/>
    <w:rsid w:val="128C4721"/>
    <w:rsid w:val="12A71957"/>
    <w:rsid w:val="12C82CF9"/>
    <w:rsid w:val="12CF1993"/>
    <w:rsid w:val="12D80442"/>
    <w:rsid w:val="12E3499A"/>
    <w:rsid w:val="12EE16BE"/>
    <w:rsid w:val="12F87EEF"/>
    <w:rsid w:val="130B55AC"/>
    <w:rsid w:val="131E10DB"/>
    <w:rsid w:val="13200813"/>
    <w:rsid w:val="1326208B"/>
    <w:rsid w:val="13336E00"/>
    <w:rsid w:val="133E0123"/>
    <w:rsid w:val="13461F36"/>
    <w:rsid w:val="13481A80"/>
    <w:rsid w:val="1355689E"/>
    <w:rsid w:val="13643434"/>
    <w:rsid w:val="1372576E"/>
    <w:rsid w:val="137673CC"/>
    <w:rsid w:val="13794159"/>
    <w:rsid w:val="13800783"/>
    <w:rsid w:val="138322C5"/>
    <w:rsid w:val="13864277"/>
    <w:rsid w:val="139D245E"/>
    <w:rsid w:val="139F62B8"/>
    <w:rsid w:val="13B14649"/>
    <w:rsid w:val="13E65B88"/>
    <w:rsid w:val="13E90F51"/>
    <w:rsid w:val="14023F4C"/>
    <w:rsid w:val="140439F4"/>
    <w:rsid w:val="14084A78"/>
    <w:rsid w:val="14213092"/>
    <w:rsid w:val="14253186"/>
    <w:rsid w:val="144D3086"/>
    <w:rsid w:val="144E634C"/>
    <w:rsid w:val="14561A9A"/>
    <w:rsid w:val="145727C0"/>
    <w:rsid w:val="14590A50"/>
    <w:rsid w:val="14695BF6"/>
    <w:rsid w:val="146F0B5D"/>
    <w:rsid w:val="14A2682E"/>
    <w:rsid w:val="14A51407"/>
    <w:rsid w:val="14DC427B"/>
    <w:rsid w:val="14DF4A71"/>
    <w:rsid w:val="14E7274E"/>
    <w:rsid w:val="14F36A44"/>
    <w:rsid w:val="14F701C2"/>
    <w:rsid w:val="15064133"/>
    <w:rsid w:val="15087BDC"/>
    <w:rsid w:val="151313F0"/>
    <w:rsid w:val="152A7409"/>
    <w:rsid w:val="152B73E2"/>
    <w:rsid w:val="15341021"/>
    <w:rsid w:val="153723B2"/>
    <w:rsid w:val="15506240"/>
    <w:rsid w:val="15552417"/>
    <w:rsid w:val="155F2E2F"/>
    <w:rsid w:val="15613212"/>
    <w:rsid w:val="15615952"/>
    <w:rsid w:val="156A3629"/>
    <w:rsid w:val="15743AD1"/>
    <w:rsid w:val="157E1FD8"/>
    <w:rsid w:val="15923CEF"/>
    <w:rsid w:val="15977A2D"/>
    <w:rsid w:val="159918A9"/>
    <w:rsid w:val="15A83ED0"/>
    <w:rsid w:val="15BB0A36"/>
    <w:rsid w:val="15BD561E"/>
    <w:rsid w:val="15BE0E43"/>
    <w:rsid w:val="15C1476B"/>
    <w:rsid w:val="15C61F74"/>
    <w:rsid w:val="15C81202"/>
    <w:rsid w:val="15DD714E"/>
    <w:rsid w:val="1603567A"/>
    <w:rsid w:val="16036993"/>
    <w:rsid w:val="16064464"/>
    <w:rsid w:val="16065B04"/>
    <w:rsid w:val="16211EB9"/>
    <w:rsid w:val="1638149C"/>
    <w:rsid w:val="16426F38"/>
    <w:rsid w:val="164728A7"/>
    <w:rsid w:val="16483A27"/>
    <w:rsid w:val="164F79CE"/>
    <w:rsid w:val="1651031A"/>
    <w:rsid w:val="1653557B"/>
    <w:rsid w:val="165B741F"/>
    <w:rsid w:val="166A5C59"/>
    <w:rsid w:val="166D23C2"/>
    <w:rsid w:val="167559CA"/>
    <w:rsid w:val="168559FC"/>
    <w:rsid w:val="169D38F0"/>
    <w:rsid w:val="169E6E6E"/>
    <w:rsid w:val="16C96801"/>
    <w:rsid w:val="16DA263F"/>
    <w:rsid w:val="16F92E4A"/>
    <w:rsid w:val="17207741"/>
    <w:rsid w:val="17251A7A"/>
    <w:rsid w:val="17422E3A"/>
    <w:rsid w:val="174E2BF7"/>
    <w:rsid w:val="17617BF4"/>
    <w:rsid w:val="17702BF3"/>
    <w:rsid w:val="17715D42"/>
    <w:rsid w:val="17762571"/>
    <w:rsid w:val="1777357B"/>
    <w:rsid w:val="178609F7"/>
    <w:rsid w:val="17930A1C"/>
    <w:rsid w:val="179F4A1A"/>
    <w:rsid w:val="17B4184F"/>
    <w:rsid w:val="17C31CA9"/>
    <w:rsid w:val="17C362C2"/>
    <w:rsid w:val="17C95F82"/>
    <w:rsid w:val="17CE5288"/>
    <w:rsid w:val="17D5662C"/>
    <w:rsid w:val="17DD2E46"/>
    <w:rsid w:val="17DE0827"/>
    <w:rsid w:val="17F11214"/>
    <w:rsid w:val="17FA6048"/>
    <w:rsid w:val="18083830"/>
    <w:rsid w:val="183007F5"/>
    <w:rsid w:val="18310795"/>
    <w:rsid w:val="186732B9"/>
    <w:rsid w:val="18A768BC"/>
    <w:rsid w:val="18B0222C"/>
    <w:rsid w:val="18C849F5"/>
    <w:rsid w:val="18D837E1"/>
    <w:rsid w:val="18D9551A"/>
    <w:rsid w:val="18F3402A"/>
    <w:rsid w:val="18F8040A"/>
    <w:rsid w:val="190049BC"/>
    <w:rsid w:val="19031404"/>
    <w:rsid w:val="19230673"/>
    <w:rsid w:val="194555DE"/>
    <w:rsid w:val="1956291C"/>
    <w:rsid w:val="19607167"/>
    <w:rsid w:val="196519AF"/>
    <w:rsid w:val="19684442"/>
    <w:rsid w:val="196C073F"/>
    <w:rsid w:val="198066DD"/>
    <w:rsid w:val="19A70D47"/>
    <w:rsid w:val="19A72121"/>
    <w:rsid w:val="19BA534F"/>
    <w:rsid w:val="19BE59EA"/>
    <w:rsid w:val="19C44522"/>
    <w:rsid w:val="19D700E9"/>
    <w:rsid w:val="1A2101FC"/>
    <w:rsid w:val="1A265566"/>
    <w:rsid w:val="1A3550F1"/>
    <w:rsid w:val="1A3F0494"/>
    <w:rsid w:val="1A637C65"/>
    <w:rsid w:val="1A9B1F5C"/>
    <w:rsid w:val="1A9C4EF4"/>
    <w:rsid w:val="1ABE6A9D"/>
    <w:rsid w:val="1AC23A1B"/>
    <w:rsid w:val="1AC84D9D"/>
    <w:rsid w:val="1AD249EA"/>
    <w:rsid w:val="1AE52F77"/>
    <w:rsid w:val="1AE86D86"/>
    <w:rsid w:val="1AED2206"/>
    <w:rsid w:val="1AF10427"/>
    <w:rsid w:val="1B24795D"/>
    <w:rsid w:val="1B2F4E78"/>
    <w:rsid w:val="1B344C3B"/>
    <w:rsid w:val="1B463A32"/>
    <w:rsid w:val="1B4F7097"/>
    <w:rsid w:val="1B505D46"/>
    <w:rsid w:val="1B5C402A"/>
    <w:rsid w:val="1B5C6914"/>
    <w:rsid w:val="1B5D7E87"/>
    <w:rsid w:val="1B642965"/>
    <w:rsid w:val="1B8652AD"/>
    <w:rsid w:val="1B8F7FB2"/>
    <w:rsid w:val="1B951C69"/>
    <w:rsid w:val="1B9C1113"/>
    <w:rsid w:val="1BAA0AD7"/>
    <w:rsid w:val="1BBC0AF1"/>
    <w:rsid w:val="1BC430B1"/>
    <w:rsid w:val="1BD070CF"/>
    <w:rsid w:val="1BE11095"/>
    <w:rsid w:val="1BEB7B83"/>
    <w:rsid w:val="1BF528C3"/>
    <w:rsid w:val="1BF620B1"/>
    <w:rsid w:val="1C040640"/>
    <w:rsid w:val="1C0D7066"/>
    <w:rsid w:val="1C11672F"/>
    <w:rsid w:val="1C215D62"/>
    <w:rsid w:val="1C267A4C"/>
    <w:rsid w:val="1C282875"/>
    <w:rsid w:val="1C2C2F55"/>
    <w:rsid w:val="1C43264B"/>
    <w:rsid w:val="1C4C0FE1"/>
    <w:rsid w:val="1C4D6878"/>
    <w:rsid w:val="1C5E1989"/>
    <w:rsid w:val="1C685700"/>
    <w:rsid w:val="1C6B3475"/>
    <w:rsid w:val="1C766F92"/>
    <w:rsid w:val="1C825595"/>
    <w:rsid w:val="1C847991"/>
    <w:rsid w:val="1C957B94"/>
    <w:rsid w:val="1CA61137"/>
    <w:rsid w:val="1CD034F3"/>
    <w:rsid w:val="1CDF6CE9"/>
    <w:rsid w:val="1CE00A5C"/>
    <w:rsid w:val="1CF82224"/>
    <w:rsid w:val="1D1354CD"/>
    <w:rsid w:val="1D165A95"/>
    <w:rsid w:val="1D172069"/>
    <w:rsid w:val="1D184167"/>
    <w:rsid w:val="1D2B75D6"/>
    <w:rsid w:val="1D2D6815"/>
    <w:rsid w:val="1D352EEB"/>
    <w:rsid w:val="1D417774"/>
    <w:rsid w:val="1D480E17"/>
    <w:rsid w:val="1D4E4802"/>
    <w:rsid w:val="1D7B323E"/>
    <w:rsid w:val="1D883A91"/>
    <w:rsid w:val="1D8F2AA5"/>
    <w:rsid w:val="1DA80ABF"/>
    <w:rsid w:val="1DA84EEA"/>
    <w:rsid w:val="1DB760C6"/>
    <w:rsid w:val="1DBC1B20"/>
    <w:rsid w:val="1DDA56EF"/>
    <w:rsid w:val="1DFC5575"/>
    <w:rsid w:val="1E015C7D"/>
    <w:rsid w:val="1E0A58A9"/>
    <w:rsid w:val="1E171D85"/>
    <w:rsid w:val="1E1D0938"/>
    <w:rsid w:val="1E1D695D"/>
    <w:rsid w:val="1E382F7D"/>
    <w:rsid w:val="1E453D19"/>
    <w:rsid w:val="1E4A5EDE"/>
    <w:rsid w:val="1E6A48CD"/>
    <w:rsid w:val="1E6A6839"/>
    <w:rsid w:val="1E6B249F"/>
    <w:rsid w:val="1E726FCD"/>
    <w:rsid w:val="1E745D0B"/>
    <w:rsid w:val="1E896E28"/>
    <w:rsid w:val="1E8B66B2"/>
    <w:rsid w:val="1EB32D22"/>
    <w:rsid w:val="1EB33DC4"/>
    <w:rsid w:val="1EB606EF"/>
    <w:rsid w:val="1EDA786D"/>
    <w:rsid w:val="1EE43CB3"/>
    <w:rsid w:val="1EE6427B"/>
    <w:rsid w:val="1EE779C7"/>
    <w:rsid w:val="1F19062A"/>
    <w:rsid w:val="1F196849"/>
    <w:rsid w:val="1F1D5308"/>
    <w:rsid w:val="1F232DA1"/>
    <w:rsid w:val="1F2B528E"/>
    <w:rsid w:val="1F3B75B3"/>
    <w:rsid w:val="1F515868"/>
    <w:rsid w:val="1F5238E6"/>
    <w:rsid w:val="1F731A20"/>
    <w:rsid w:val="1F992116"/>
    <w:rsid w:val="1FA84779"/>
    <w:rsid w:val="1FA9169F"/>
    <w:rsid w:val="1FC15732"/>
    <w:rsid w:val="1FD74790"/>
    <w:rsid w:val="1FDA0468"/>
    <w:rsid w:val="1FF22CFA"/>
    <w:rsid w:val="200255A8"/>
    <w:rsid w:val="200E4927"/>
    <w:rsid w:val="2014432B"/>
    <w:rsid w:val="202236C2"/>
    <w:rsid w:val="205209F2"/>
    <w:rsid w:val="20594D18"/>
    <w:rsid w:val="2063100E"/>
    <w:rsid w:val="206F3A3C"/>
    <w:rsid w:val="2077040B"/>
    <w:rsid w:val="20772B44"/>
    <w:rsid w:val="20901F62"/>
    <w:rsid w:val="209373DE"/>
    <w:rsid w:val="209B7861"/>
    <w:rsid w:val="209C5D02"/>
    <w:rsid w:val="20AE11B3"/>
    <w:rsid w:val="20DD6D83"/>
    <w:rsid w:val="20E21A70"/>
    <w:rsid w:val="20E96933"/>
    <w:rsid w:val="20EB6EAB"/>
    <w:rsid w:val="20F13E6F"/>
    <w:rsid w:val="2104462F"/>
    <w:rsid w:val="2106509B"/>
    <w:rsid w:val="212F4C6A"/>
    <w:rsid w:val="21301C4D"/>
    <w:rsid w:val="21315858"/>
    <w:rsid w:val="213A35D1"/>
    <w:rsid w:val="213A779C"/>
    <w:rsid w:val="213B0B80"/>
    <w:rsid w:val="21532CD0"/>
    <w:rsid w:val="21600D5D"/>
    <w:rsid w:val="21652CAF"/>
    <w:rsid w:val="216E6B6F"/>
    <w:rsid w:val="2174380B"/>
    <w:rsid w:val="217F16E2"/>
    <w:rsid w:val="21825CB3"/>
    <w:rsid w:val="21862E48"/>
    <w:rsid w:val="21966754"/>
    <w:rsid w:val="21B12F15"/>
    <w:rsid w:val="21C60370"/>
    <w:rsid w:val="21C93C05"/>
    <w:rsid w:val="21CA3041"/>
    <w:rsid w:val="21EE45D8"/>
    <w:rsid w:val="21F22F8D"/>
    <w:rsid w:val="220C0C10"/>
    <w:rsid w:val="22113759"/>
    <w:rsid w:val="2221534F"/>
    <w:rsid w:val="22293C39"/>
    <w:rsid w:val="22315C0B"/>
    <w:rsid w:val="22320E3C"/>
    <w:rsid w:val="22666703"/>
    <w:rsid w:val="226A09D6"/>
    <w:rsid w:val="226A571B"/>
    <w:rsid w:val="226C47A3"/>
    <w:rsid w:val="22783545"/>
    <w:rsid w:val="227E5E99"/>
    <w:rsid w:val="2283232C"/>
    <w:rsid w:val="2296284D"/>
    <w:rsid w:val="22A354FB"/>
    <w:rsid w:val="22B009B6"/>
    <w:rsid w:val="22BA0F62"/>
    <w:rsid w:val="22C730EF"/>
    <w:rsid w:val="22DD6081"/>
    <w:rsid w:val="22E026FB"/>
    <w:rsid w:val="22E35218"/>
    <w:rsid w:val="22FE08D6"/>
    <w:rsid w:val="23024E89"/>
    <w:rsid w:val="230C2C31"/>
    <w:rsid w:val="230C3995"/>
    <w:rsid w:val="231446E4"/>
    <w:rsid w:val="2320126B"/>
    <w:rsid w:val="23484E9B"/>
    <w:rsid w:val="234975D4"/>
    <w:rsid w:val="235C7608"/>
    <w:rsid w:val="2364459A"/>
    <w:rsid w:val="236D4A24"/>
    <w:rsid w:val="23723B21"/>
    <w:rsid w:val="23746A5D"/>
    <w:rsid w:val="237D279F"/>
    <w:rsid w:val="237D294E"/>
    <w:rsid w:val="239F7D44"/>
    <w:rsid w:val="23B516A5"/>
    <w:rsid w:val="23B745EE"/>
    <w:rsid w:val="23CF67D5"/>
    <w:rsid w:val="23D16D4F"/>
    <w:rsid w:val="23DF22DC"/>
    <w:rsid w:val="23EC6926"/>
    <w:rsid w:val="23FD4BCC"/>
    <w:rsid w:val="240540D0"/>
    <w:rsid w:val="24154264"/>
    <w:rsid w:val="241A4048"/>
    <w:rsid w:val="241B5EB9"/>
    <w:rsid w:val="24390A95"/>
    <w:rsid w:val="24502757"/>
    <w:rsid w:val="245E489C"/>
    <w:rsid w:val="24602968"/>
    <w:rsid w:val="24782928"/>
    <w:rsid w:val="248C25B2"/>
    <w:rsid w:val="24A45C17"/>
    <w:rsid w:val="24A673DE"/>
    <w:rsid w:val="24CA01CB"/>
    <w:rsid w:val="24DD5165"/>
    <w:rsid w:val="24F254D3"/>
    <w:rsid w:val="24FD351C"/>
    <w:rsid w:val="2502010A"/>
    <w:rsid w:val="251110EE"/>
    <w:rsid w:val="251232CD"/>
    <w:rsid w:val="2532189D"/>
    <w:rsid w:val="25424339"/>
    <w:rsid w:val="25467904"/>
    <w:rsid w:val="2549734F"/>
    <w:rsid w:val="25540793"/>
    <w:rsid w:val="2558201F"/>
    <w:rsid w:val="255A407B"/>
    <w:rsid w:val="256042EA"/>
    <w:rsid w:val="256B43E2"/>
    <w:rsid w:val="2581536D"/>
    <w:rsid w:val="25976E46"/>
    <w:rsid w:val="2599545C"/>
    <w:rsid w:val="25A94F06"/>
    <w:rsid w:val="25B00F64"/>
    <w:rsid w:val="25C0778B"/>
    <w:rsid w:val="25CF0F74"/>
    <w:rsid w:val="25E3209D"/>
    <w:rsid w:val="25E91AAC"/>
    <w:rsid w:val="25EC5FBD"/>
    <w:rsid w:val="25F1597C"/>
    <w:rsid w:val="260007C0"/>
    <w:rsid w:val="2608390D"/>
    <w:rsid w:val="260B4EDF"/>
    <w:rsid w:val="260D56E0"/>
    <w:rsid w:val="26177BD8"/>
    <w:rsid w:val="261C37F9"/>
    <w:rsid w:val="262B5546"/>
    <w:rsid w:val="2638076E"/>
    <w:rsid w:val="2646293A"/>
    <w:rsid w:val="267436A2"/>
    <w:rsid w:val="267C524F"/>
    <w:rsid w:val="267F3D63"/>
    <w:rsid w:val="269417A3"/>
    <w:rsid w:val="269512C0"/>
    <w:rsid w:val="26B126CF"/>
    <w:rsid w:val="26B44AA7"/>
    <w:rsid w:val="26C52D41"/>
    <w:rsid w:val="26DA5BE8"/>
    <w:rsid w:val="26E41DFC"/>
    <w:rsid w:val="26E533E2"/>
    <w:rsid w:val="27057D17"/>
    <w:rsid w:val="272550A2"/>
    <w:rsid w:val="272D16BB"/>
    <w:rsid w:val="27333FAB"/>
    <w:rsid w:val="27407F23"/>
    <w:rsid w:val="274B60A8"/>
    <w:rsid w:val="27664AAE"/>
    <w:rsid w:val="278931AA"/>
    <w:rsid w:val="27A0076F"/>
    <w:rsid w:val="27B21B1C"/>
    <w:rsid w:val="27B91114"/>
    <w:rsid w:val="27C249B2"/>
    <w:rsid w:val="27C26646"/>
    <w:rsid w:val="27C46D35"/>
    <w:rsid w:val="27CA6B03"/>
    <w:rsid w:val="27CB128F"/>
    <w:rsid w:val="27D04E8D"/>
    <w:rsid w:val="27D92BB3"/>
    <w:rsid w:val="27E41D96"/>
    <w:rsid w:val="280D3187"/>
    <w:rsid w:val="282F05FA"/>
    <w:rsid w:val="28333FC0"/>
    <w:rsid w:val="28375640"/>
    <w:rsid w:val="2843108F"/>
    <w:rsid w:val="284652B0"/>
    <w:rsid w:val="28636061"/>
    <w:rsid w:val="2864389D"/>
    <w:rsid w:val="286A2BA3"/>
    <w:rsid w:val="28700BAF"/>
    <w:rsid w:val="287A2378"/>
    <w:rsid w:val="289458C8"/>
    <w:rsid w:val="289F5CA9"/>
    <w:rsid w:val="28A5073F"/>
    <w:rsid w:val="28D81D89"/>
    <w:rsid w:val="28DA6389"/>
    <w:rsid w:val="28E6588D"/>
    <w:rsid w:val="28EC35DA"/>
    <w:rsid w:val="28F312A7"/>
    <w:rsid w:val="28F81FAA"/>
    <w:rsid w:val="28FA4EB9"/>
    <w:rsid w:val="290B05FA"/>
    <w:rsid w:val="290F1004"/>
    <w:rsid w:val="291408F7"/>
    <w:rsid w:val="291A4DE0"/>
    <w:rsid w:val="292375F9"/>
    <w:rsid w:val="293E3BFD"/>
    <w:rsid w:val="296D47FF"/>
    <w:rsid w:val="296D4AC7"/>
    <w:rsid w:val="297C3DBC"/>
    <w:rsid w:val="298A02C7"/>
    <w:rsid w:val="298C1265"/>
    <w:rsid w:val="299E6565"/>
    <w:rsid w:val="29B447A2"/>
    <w:rsid w:val="29C14E37"/>
    <w:rsid w:val="29C44347"/>
    <w:rsid w:val="29DF2481"/>
    <w:rsid w:val="29F23EB0"/>
    <w:rsid w:val="29F51DE0"/>
    <w:rsid w:val="29F87979"/>
    <w:rsid w:val="2A04463F"/>
    <w:rsid w:val="2A0F5E16"/>
    <w:rsid w:val="2A145AF2"/>
    <w:rsid w:val="2A1C30A0"/>
    <w:rsid w:val="2A1E700C"/>
    <w:rsid w:val="2A253F45"/>
    <w:rsid w:val="2A350A09"/>
    <w:rsid w:val="2A63171E"/>
    <w:rsid w:val="2A696C72"/>
    <w:rsid w:val="2A8D1423"/>
    <w:rsid w:val="2A9801AC"/>
    <w:rsid w:val="2A9839CF"/>
    <w:rsid w:val="2AA21A51"/>
    <w:rsid w:val="2AA33E16"/>
    <w:rsid w:val="2AA74053"/>
    <w:rsid w:val="2ACA3D8A"/>
    <w:rsid w:val="2ADA4B5F"/>
    <w:rsid w:val="2AEE1A9B"/>
    <w:rsid w:val="2AF10356"/>
    <w:rsid w:val="2AF457FF"/>
    <w:rsid w:val="2AF50D14"/>
    <w:rsid w:val="2AF92A61"/>
    <w:rsid w:val="2B157D85"/>
    <w:rsid w:val="2B1A2352"/>
    <w:rsid w:val="2B3356BF"/>
    <w:rsid w:val="2B5D43BA"/>
    <w:rsid w:val="2B5F352E"/>
    <w:rsid w:val="2B627BD1"/>
    <w:rsid w:val="2B685158"/>
    <w:rsid w:val="2B7F36CF"/>
    <w:rsid w:val="2BA436CE"/>
    <w:rsid w:val="2BAE5D00"/>
    <w:rsid w:val="2BC02948"/>
    <w:rsid w:val="2BC32EDB"/>
    <w:rsid w:val="2BD57659"/>
    <w:rsid w:val="2BD9569F"/>
    <w:rsid w:val="2BE43810"/>
    <w:rsid w:val="2BF676C7"/>
    <w:rsid w:val="2BFF21BF"/>
    <w:rsid w:val="2C1B6C23"/>
    <w:rsid w:val="2C237614"/>
    <w:rsid w:val="2C2953E0"/>
    <w:rsid w:val="2C5374A0"/>
    <w:rsid w:val="2C783044"/>
    <w:rsid w:val="2C7A3E70"/>
    <w:rsid w:val="2C92538C"/>
    <w:rsid w:val="2C9C1AF1"/>
    <w:rsid w:val="2CB956EE"/>
    <w:rsid w:val="2CBA052E"/>
    <w:rsid w:val="2CCD1AD0"/>
    <w:rsid w:val="2CEA4B33"/>
    <w:rsid w:val="2CFF7F3E"/>
    <w:rsid w:val="2D083826"/>
    <w:rsid w:val="2D2626A0"/>
    <w:rsid w:val="2D327BFE"/>
    <w:rsid w:val="2D387470"/>
    <w:rsid w:val="2D4C56A6"/>
    <w:rsid w:val="2D5B6393"/>
    <w:rsid w:val="2D6F2328"/>
    <w:rsid w:val="2D7605C5"/>
    <w:rsid w:val="2D79135B"/>
    <w:rsid w:val="2DA93B96"/>
    <w:rsid w:val="2DAD5D7E"/>
    <w:rsid w:val="2DC4770B"/>
    <w:rsid w:val="2DD43619"/>
    <w:rsid w:val="2E0B6A80"/>
    <w:rsid w:val="2E2B1F8F"/>
    <w:rsid w:val="2E3837FB"/>
    <w:rsid w:val="2E502C31"/>
    <w:rsid w:val="2E5161D1"/>
    <w:rsid w:val="2E570E60"/>
    <w:rsid w:val="2E6058BF"/>
    <w:rsid w:val="2E6B3EAF"/>
    <w:rsid w:val="2E6B7D28"/>
    <w:rsid w:val="2E926698"/>
    <w:rsid w:val="2E9875FB"/>
    <w:rsid w:val="2E990F00"/>
    <w:rsid w:val="2EA15BB6"/>
    <w:rsid w:val="2EC97A9B"/>
    <w:rsid w:val="2ED347AD"/>
    <w:rsid w:val="2ED353AA"/>
    <w:rsid w:val="2ED5095F"/>
    <w:rsid w:val="2ED83573"/>
    <w:rsid w:val="2EE22086"/>
    <w:rsid w:val="2EF4309D"/>
    <w:rsid w:val="2EFC355A"/>
    <w:rsid w:val="2F145FFB"/>
    <w:rsid w:val="2F216DCB"/>
    <w:rsid w:val="2F4F3CB6"/>
    <w:rsid w:val="2F507A6E"/>
    <w:rsid w:val="2F894377"/>
    <w:rsid w:val="2F8D5FF5"/>
    <w:rsid w:val="2FA45324"/>
    <w:rsid w:val="2FA46AF3"/>
    <w:rsid w:val="2FCD79FD"/>
    <w:rsid w:val="2FE23C70"/>
    <w:rsid w:val="2FE86131"/>
    <w:rsid w:val="300760C7"/>
    <w:rsid w:val="30142D77"/>
    <w:rsid w:val="301A72CF"/>
    <w:rsid w:val="30236D9C"/>
    <w:rsid w:val="30273787"/>
    <w:rsid w:val="30283605"/>
    <w:rsid w:val="30302733"/>
    <w:rsid w:val="30314D97"/>
    <w:rsid w:val="30457B86"/>
    <w:rsid w:val="305D50FF"/>
    <w:rsid w:val="305E2F62"/>
    <w:rsid w:val="307A0E3C"/>
    <w:rsid w:val="30881D4D"/>
    <w:rsid w:val="308A69B2"/>
    <w:rsid w:val="309B46F1"/>
    <w:rsid w:val="30A960F6"/>
    <w:rsid w:val="30BD03F0"/>
    <w:rsid w:val="30E22355"/>
    <w:rsid w:val="30F4641B"/>
    <w:rsid w:val="31297B26"/>
    <w:rsid w:val="31474E5E"/>
    <w:rsid w:val="3166744A"/>
    <w:rsid w:val="316C3ECC"/>
    <w:rsid w:val="31844480"/>
    <w:rsid w:val="319E559F"/>
    <w:rsid w:val="31A13BA9"/>
    <w:rsid w:val="31AD1C2E"/>
    <w:rsid w:val="31AE2072"/>
    <w:rsid w:val="31AF7F3B"/>
    <w:rsid w:val="31E1349B"/>
    <w:rsid w:val="31EA50E1"/>
    <w:rsid w:val="31EC56AF"/>
    <w:rsid w:val="31FB4BD5"/>
    <w:rsid w:val="32042395"/>
    <w:rsid w:val="32145E2D"/>
    <w:rsid w:val="32313C9B"/>
    <w:rsid w:val="324C001E"/>
    <w:rsid w:val="32621614"/>
    <w:rsid w:val="3265121F"/>
    <w:rsid w:val="32B50D4C"/>
    <w:rsid w:val="32BC58F1"/>
    <w:rsid w:val="32C5407F"/>
    <w:rsid w:val="32C95C15"/>
    <w:rsid w:val="32DB02EE"/>
    <w:rsid w:val="32DE7263"/>
    <w:rsid w:val="32E92081"/>
    <w:rsid w:val="32ED26E4"/>
    <w:rsid w:val="33117EFD"/>
    <w:rsid w:val="331B2E67"/>
    <w:rsid w:val="33200F8C"/>
    <w:rsid w:val="3327698E"/>
    <w:rsid w:val="3330240B"/>
    <w:rsid w:val="33327EA7"/>
    <w:rsid w:val="333B0420"/>
    <w:rsid w:val="335C2EC9"/>
    <w:rsid w:val="335E48A1"/>
    <w:rsid w:val="336021EC"/>
    <w:rsid w:val="336D17CE"/>
    <w:rsid w:val="336F295E"/>
    <w:rsid w:val="33752428"/>
    <w:rsid w:val="33896077"/>
    <w:rsid w:val="338C536F"/>
    <w:rsid w:val="33A02799"/>
    <w:rsid w:val="33AE2876"/>
    <w:rsid w:val="33B96D3A"/>
    <w:rsid w:val="33BE6DD1"/>
    <w:rsid w:val="33BF1F4E"/>
    <w:rsid w:val="33C532FC"/>
    <w:rsid w:val="33CD15C0"/>
    <w:rsid w:val="33E77209"/>
    <w:rsid w:val="33EF2BFD"/>
    <w:rsid w:val="33F03DBC"/>
    <w:rsid w:val="33F20B5F"/>
    <w:rsid w:val="33F71D19"/>
    <w:rsid w:val="33F86141"/>
    <w:rsid w:val="33FB4443"/>
    <w:rsid w:val="341550A6"/>
    <w:rsid w:val="345E7442"/>
    <w:rsid w:val="345F5497"/>
    <w:rsid w:val="34716F1C"/>
    <w:rsid w:val="3475674F"/>
    <w:rsid w:val="34773A87"/>
    <w:rsid w:val="3477728C"/>
    <w:rsid w:val="349A0DAD"/>
    <w:rsid w:val="34A15CCA"/>
    <w:rsid w:val="34A506AE"/>
    <w:rsid w:val="34A72D45"/>
    <w:rsid w:val="34AE030C"/>
    <w:rsid w:val="34AF5798"/>
    <w:rsid w:val="34B3663D"/>
    <w:rsid w:val="34BF78D8"/>
    <w:rsid w:val="34C418D8"/>
    <w:rsid w:val="34CE4B90"/>
    <w:rsid w:val="34DE68C6"/>
    <w:rsid w:val="34F60F02"/>
    <w:rsid w:val="34F85F7F"/>
    <w:rsid w:val="353C41C4"/>
    <w:rsid w:val="35461497"/>
    <w:rsid w:val="35491D3E"/>
    <w:rsid w:val="35757F73"/>
    <w:rsid w:val="357A05FC"/>
    <w:rsid w:val="357E4AFA"/>
    <w:rsid w:val="35855B87"/>
    <w:rsid w:val="35861A3F"/>
    <w:rsid w:val="3599577E"/>
    <w:rsid w:val="35A9542A"/>
    <w:rsid w:val="35B85F63"/>
    <w:rsid w:val="35E35963"/>
    <w:rsid w:val="35EE322C"/>
    <w:rsid w:val="35F43C53"/>
    <w:rsid w:val="360F581A"/>
    <w:rsid w:val="36166BFE"/>
    <w:rsid w:val="36200C91"/>
    <w:rsid w:val="362925DA"/>
    <w:rsid w:val="36313577"/>
    <w:rsid w:val="365C3462"/>
    <w:rsid w:val="366577C1"/>
    <w:rsid w:val="366960C0"/>
    <w:rsid w:val="36777649"/>
    <w:rsid w:val="367D7C1E"/>
    <w:rsid w:val="36820017"/>
    <w:rsid w:val="36A9448F"/>
    <w:rsid w:val="36A96122"/>
    <w:rsid w:val="36CF4DB4"/>
    <w:rsid w:val="36D01FF9"/>
    <w:rsid w:val="36E373F3"/>
    <w:rsid w:val="36EC424D"/>
    <w:rsid w:val="36EF5CDF"/>
    <w:rsid w:val="36F16EF6"/>
    <w:rsid w:val="371234FE"/>
    <w:rsid w:val="3742595C"/>
    <w:rsid w:val="37463FF6"/>
    <w:rsid w:val="375C3ADA"/>
    <w:rsid w:val="375E0061"/>
    <w:rsid w:val="37696E9A"/>
    <w:rsid w:val="37754033"/>
    <w:rsid w:val="377D7FBC"/>
    <w:rsid w:val="378545C9"/>
    <w:rsid w:val="379958AC"/>
    <w:rsid w:val="37C643BF"/>
    <w:rsid w:val="37CF0C2C"/>
    <w:rsid w:val="37E917E2"/>
    <w:rsid w:val="37F817D5"/>
    <w:rsid w:val="37F906FF"/>
    <w:rsid w:val="37FA4A27"/>
    <w:rsid w:val="380070FF"/>
    <w:rsid w:val="38024134"/>
    <w:rsid w:val="3817576D"/>
    <w:rsid w:val="38191545"/>
    <w:rsid w:val="38253336"/>
    <w:rsid w:val="38510C18"/>
    <w:rsid w:val="385D7524"/>
    <w:rsid w:val="38691660"/>
    <w:rsid w:val="387D24CB"/>
    <w:rsid w:val="38854DAA"/>
    <w:rsid w:val="38926D15"/>
    <w:rsid w:val="38931B3B"/>
    <w:rsid w:val="38993684"/>
    <w:rsid w:val="38A0469C"/>
    <w:rsid w:val="38B647AF"/>
    <w:rsid w:val="38C216CE"/>
    <w:rsid w:val="38C92861"/>
    <w:rsid w:val="38CC6E93"/>
    <w:rsid w:val="38CF70B1"/>
    <w:rsid w:val="38F32D64"/>
    <w:rsid w:val="39005F0C"/>
    <w:rsid w:val="39064F3C"/>
    <w:rsid w:val="390B133D"/>
    <w:rsid w:val="3912595C"/>
    <w:rsid w:val="39163F52"/>
    <w:rsid w:val="39201C81"/>
    <w:rsid w:val="39294FD2"/>
    <w:rsid w:val="3935661B"/>
    <w:rsid w:val="39481A6A"/>
    <w:rsid w:val="39703C4B"/>
    <w:rsid w:val="39745A6B"/>
    <w:rsid w:val="397D3FED"/>
    <w:rsid w:val="398F1FBC"/>
    <w:rsid w:val="399133D8"/>
    <w:rsid w:val="39A27EC4"/>
    <w:rsid w:val="39E12944"/>
    <w:rsid w:val="39E6561A"/>
    <w:rsid w:val="39F148BC"/>
    <w:rsid w:val="3A18537A"/>
    <w:rsid w:val="3A1E283A"/>
    <w:rsid w:val="3A1F256D"/>
    <w:rsid w:val="3A4642C7"/>
    <w:rsid w:val="3A5000AC"/>
    <w:rsid w:val="3A501509"/>
    <w:rsid w:val="3A5718C1"/>
    <w:rsid w:val="3A5B034E"/>
    <w:rsid w:val="3A5B618E"/>
    <w:rsid w:val="3A60513C"/>
    <w:rsid w:val="3A63196C"/>
    <w:rsid w:val="3A735742"/>
    <w:rsid w:val="3A940B60"/>
    <w:rsid w:val="3A971AEB"/>
    <w:rsid w:val="3A9A1E14"/>
    <w:rsid w:val="3A9F401F"/>
    <w:rsid w:val="3AA54FB7"/>
    <w:rsid w:val="3AB015CB"/>
    <w:rsid w:val="3ABA1F50"/>
    <w:rsid w:val="3ABA2A0A"/>
    <w:rsid w:val="3AC42601"/>
    <w:rsid w:val="3AD84462"/>
    <w:rsid w:val="3AEB13E4"/>
    <w:rsid w:val="3B0F5A11"/>
    <w:rsid w:val="3B3101BD"/>
    <w:rsid w:val="3B5C6170"/>
    <w:rsid w:val="3B6A39B2"/>
    <w:rsid w:val="3B8E052F"/>
    <w:rsid w:val="3BAB523F"/>
    <w:rsid w:val="3BB632AF"/>
    <w:rsid w:val="3BB74E00"/>
    <w:rsid w:val="3BC22145"/>
    <w:rsid w:val="3BCD3447"/>
    <w:rsid w:val="3BDB7DBC"/>
    <w:rsid w:val="3BE07F57"/>
    <w:rsid w:val="3BE50222"/>
    <w:rsid w:val="3C025F4B"/>
    <w:rsid w:val="3C063C16"/>
    <w:rsid w:val="3C322C1A"/>
    <w:rsid w:val="3C342BB4"/>
    <w:rsid w:val="3C633EEB"/>
    <w:rsid w:val="3C6D29E6"/>
    <w:rsid w:val="3C7F292C"/>
    <w:rsid w:val="3C83005D"/>
    <w:rsid w:val="3C8371FE"/>
    <w:rsid w:val="3C863A6A"/>
    <w:rsid w:val="3C905D62"/>
    <w:rsid w:val="3C95356A"/>
    <w:rsid w:val="3C9713C6"/>
    <w:rsid w:val="3CCF66B0"/>
    <w:rsid w:val="3CD76401"/>
    <w:rsid w:val="3CF50E8A"/>
    <w:rsid w:val="3D1850C8"/>
    <w:rsid w:val="3D224BC2"/>
    <w:rsid w:val="3D412C98"/>
    <w:rsid w:val="3D494787"/>
    <w:rsid w:val="3D55554A"/>
    <w:rsid w:val="3D7C5DC5"/>
    <w:rsid w:val="3D7D5D71"/>
    <w:rsid w:val="3D860A3D"/>
    <w:rsid w:val="3D883BC7"/>
    <w:rsid w:val="3DA1333B"/>
    <w:rsid w:val="3DAB685B"/>
    <w:rsid w:val="3DAB742F"/>
    <w:rsid w:val="3DC36698"/>
    <w:rsid w:val="3DDE2E34"/>
    <w:rsid w:val="3DF164FB"/>
    <w:rsid w:val="3E006420"/>
    <w:rsid w:val="3E0C218D"/>
    <w:rsid w:val="3E0E4702"/>
    <w:rsid w:val="3E1118AA"/>
    <w:rsid w:val="3E12334F"/>
    <w:rsid w:val="3E13454F"/>
    <w:rsid w:val="3E294051"/>
    <w:rsid w:val="3E435904"/>
    <w:rsid w:val="3E5B16E0"/>
    <w:rsid w:val="3E6C1B95"/>
    <w:rsid w:val="3E6E2B81"/>
    <w:rsid w:val="3E740B78"/>
    <w:rsid w:val="3E7952D5"/>
    <w:rsid w:val="3EAA09C5"/>
    <w:rsid w:val="3EB064AC"/>
    <w:rsid w:val="3EC5373C"/>
    <w:rsid w:val="3ECB54DB"/>
    <w:rsid w:val="3ED646A2"/>
    <w:rsid w:val="3EDE5416"/>
    <w:rsid w:val="3EE836F3"/>
    <w:rsid w:val="3EFD491D"/>
    <w:rsid w:val="3F05589B"/>
    <w:rsid w:val="3F0F6748"/>
    <w:rsid w:val="3F347F9A"/>
    <w:rsid w:val="3F4E251D"/>
    <w:rsid w:val="3F635936"/>
    <w:rsid w:val="3F715366"/>
    <w:rsid w:val="3F937C04"/>
    <w:rsid w:val="3FA62A11"/>
    <w:rsid w:val="3FAE528E"/>
    <w:rsid w:val="3FB75D72"/>
    <w:rsid w:val="3FB90D1B"/>
    <w:rsid w:val="3FDC7435"/>
    <w:rsid w:val="3FEE06BE"/>
    <w:rsid w:val="3FF32B29"/>
    <w:rsid w:val="400C62C7"/>
    <w:rsid w:val="403912A3"/>
    <w:rsid w:val="404352A6"/>
    <w:rsid w:val="40697F19"/>
    <w:rsid w:val="4079508A"/>
    <w:rsid w:val="4087144D"/>
    <w:rsid w:val="40910926"/>
    <w:rsid w:val="4097168B"/>
    <w:rsid w:val="409A4ADC"/>
    <w:rsid w:val="409F50E0"/>
    <w:rsid w:val="40B438BE"/>
    <w:rsid w:val="40B81DFD"/>
    <w:rsid w:val="40C00C0C"/>
    <w:rsid w:val="40C44058"/>
    <w:rsid w:val="40C564C7"/>
    <w:rsid w:val="40CE6818"/>
    <w:rsid w:val="40E80FD9"/>
    <w:rsid w:val="410373FC"/>
    <w:rsid w:val="41325C8D"/>
    <w:rsid w:val="41360529"/>
    <w:rsid w:val="41367F31"/>
    <w:rsid w:val="413F0D32"/>
    <w:rsid w:val="416038DC"/>
    <w:rsid w:val="417B2FCF"/>
    <w:rsid w:val="417D715D"/>
    <w:rsid w:val="417E0438"/>
    <w:rsid w:val="418146E6"/>
    <w:rsid w:val="41835CAB"/>
    <w:rsid w:val="41866485"/>
    <w:rsid w:val="41866B00"/>
    <w:rsid w:val="418F43D2"/>
    <w:rsid w:val="41903A0C"/>
    <w:rsid w:val="41971E5A"/>
    <w:rsid w:val="41980281"/>
    <w:rsid w:val="419C639E"/>
    <w:rsid w:val="41A67708"/>
    <w:rsid w:val="41B11F4C"/>
    <w:rsid w:val="41B16A2E"/>
    <w:rsid w:val="41B91C91"/>
    <w:rsid w:val="41BF6BBC"/>
    <w:rsid w:val="41C0478A"/>
    <w:rsid w:val="41C27E1A"/>
    <w:rsid w:val="41C50924"/>
    <w:rsid w:val="41C92955"/>
    <w:rsid w:val="41CF1643"/>
    <w:rsid w:val="41D36B9B"/>
    <w:rsid w:val="41DB117C"/>
    <w:rsid w:val="41E560DB"/>
    <w:rsid w:val="41F175A6"/>
    <w:rsid w:val="41FE7F26"/>
    <w:rsid w:val="420640FE"/>
    <w:rsid w:val="420A5BFE"/>
    <w:rsid w:val="421C1BE2"/>
    <w:rsid w:val="423A5F71"/>
    <w:rsid w:val="424D3B9A"/>
    <w:rsid w:val="42631CE2"/>
    <w:rsid w:val="42750C54"/>
    <w:rsid w:val="42917BB3"/>
    <w:rsid w:val="42931660"/>
    <w:rsid w:val="429A0BB0"/>
    <w:rsid w:val="42A035F5"/>
    <w:rsid w:val="42A17B4F"/>
    <w:rsid w:val="42A77CC1"/>
    <w:rsid w:val="42AE1018"/>
    <w:rsid w:val="42BC6D68"/>
    <w:rsid w:val="42C24615"/>
    <w:rsid w:val="42CD0810"/>
    <w:rsid w:val="42D746C8"/>
    <w:rsid w:val="42EE4384"/>
    <w:rsid w:val="43010F73"/>
    <w:rsid w:val="43023075"/>
    <w:rsid w:val="43130555"/>
    <w:rsid w:val="4318407A"/>
    <w:rsid w:val="431F1CAD"/>
    <w:rsid w:val="43224C40"/>
    <w:rsid w:val="432A136F"/>
    <w:rsid w:val="433C2B49"/>
    <w:rsid w:val="433F4728"/>
    <w:rsid w:val="43411C2A"/>
    <w:rsid w:val="434402AE"/>
    <w:rsid w:val="434474F5"/>
    <w:rsid w:val="43473202"/>
    <w:rsid w:val="435E530F"/>
    <w:rsid w:val="43810955"/>
    <w:rsid w:val="4389516D"/>
    <w:rsid w:val="438D0E70"/>
    <w:rsid w:val="439273E5"/>
    <w:rsid w:val="43A539B9"/>
    <w:rsid w:val="43AA5DBD"/>
    <w:rsid w:val="43D67FF4"/>
    <w:rsid w:val="43DF0830"/>
    <w:rsid w:val="43E63EA4"/>
    <w:rsid w:val="43E8106E"/>
    <w:rsid w:val="43EA34A0"/>
    <w:rsid w:val="44041722"/>
    <w:rsid w:val="44182E24"/>
    <w:rsid w:val="442169E8"/>
    <w:rsid w:val="44376632"/>
    <w:rsid w:val="44383134"/>
    <w:rsid w:val="44383C85"/>
    <w:rsid w:val="444E0108"/>
    <w:rsid w:val="447C2FE9"/>
    <w:rsid w:val="44802048"/>
    <w:rsid w:val="44853A9E"/>
    <w:rsid w:val="44913C8D"/>
    <w:rsid w:val="44A94D2F"/>
    <w:rsid w:val="44D61F74"/>
    <w:rsid w:val="44E14149"/>
    <w:rsid w:val="44FA5EEC"/>
    <w:rsid w:val="45004E1A"/>
    <w:rsid w:val="45035F8F"/>
    <w:rsid w:val="450A1333"/>
    <w:rsid w:val="450D410C"/>
    <w:rsid w:val="45183206"/>
    <w:rsid w:val="451E5477"/>
    <w:rsid w:val="453D19B8"/>
    <w:rsid w:val="45745A1C"/>
    <w:rsid w:val="457B2762"/>
    <w:rsid w:val="459563D0"/>
    <w:rsid w:val="45A24E50"/>
    <w:rsid w:val="45BC0373"/>
    <w:rsid w:val="45C955B0"/>
    <w:rsid w:val="45CA2C37"/>
    <w:rsid w:val="45CA33FD"/>
    <w:rsid w:val="45D476D2"/>
    <w:rsid w:val="45D542D6"/>
    <w:rsid w:val="45D673F5"/>
    <w:rsid w:val="45DA173E"/>
    <w:rsid w:val="45FC1727"/>
    <w:rsid w:val="46036485"/>
    <w:rsid w:val="4608523D"/>
    <w:rsid w:val="460960CC"/>
    <w:rsid w:val="46167D84"/>
    <w:rsid w:val="461F0F69"/>
    <w:rsid w:val="463D4713"/>
    <w:rsid w:val="46416237"/>
    <w:rsid w:val="464F7746"/>
    <w:rsid w:val="465B712A"/>
    <w:rsid w:val="465C6204"/>
    <w:rsid w:val="466259D2"/>
    <w:rsid w:val="467027A4"/>
    <w:rsid w:val="46783424"/>
    <w:rsid w:val="467A43D0"/>
    <w:rsid w:val="4683163F"/>
    <w:rsid w:val="46911EEF"/>
    <w:rsid w:val="469D0E03"/>
    <w:rsid w:val="46AD3F03"/>
    <w:rsid w:val="46B669FB"/>
    <w:rsid w:val="46BC43BC"/>
    <w:rsid w:val="46DA0156"/>
    <w:rsid w:val="46DD2439"/>
    <w:rsid w:val="46DE467C"/>
    <w:rsid w:val="46E02785"/>
    <w:rsid w:val="46E438A2"/>
    <w:rsid w:val="46EA5F68"/>
    <w:rsid w:val="46F0690C"/>
    <w:rsid w:val="46F2328A"/>
    <w:rsid w:val="46F448AD"/>
    <w:rsid w:val="46F50DFB"/>
    <w:rsid w:val="46FB4E77"/>
    <w:rsid w:val="4702783C"/>
    <w:rsid w:val="4708395B"/>
    <w:rsid w:val="47105CF6"/>
    <w:rsid w:val="471361DB"/>
    <w:rsid w:val="472A48D4"/>
    <w:rsid w:val="47464F26"/>
    <w:rsid w:val="474A47BD"/>
    <w:rsid w:val="474F429D"/>
    <w:rsid w:val="47551743"/>
    <w:rsid w:val="475A46AB"/>
    <w:rsid w:val="475E4165"/>
    <w:rsid w:val="47647FB9"/>
    <w:rsid w:val="47650595"/>
    <w:rsid w:val="47651ABD"/>
    <w:rsid w:val="47691AFE"/>
    <w:rsid w:val="476A16BE"/>
    <w:rsid w:val="477D3AA5"/>
    <w:rsid w:val="477E08B4"/>
    <w:rsid w:val="478B6D66"/>
    <w:rsid w:val="47924375"/>
    <w:rsid w:val="479B57EE"/>
    <w:rsid w:val="47A36292"/>
    <w:rsid w:val="47A72034"/>
    <w:rsid w:val="47A72612"/>
    <w:rsid w:val="47BA22A8"/>
    <w:rsid w:val="47D57654"/>
    <w:rsid w:val="47E810FA"/>
    <w:rsid w:val="47FE7B1C"/>
    <w:rsid w:val="48011969"/>
    <w:rsid w:val="480666E7"/>
    <w:rsid w:val="481524CA"/>
    <w:rsid w:val="48204562"/>
    <w:rsid w:val="4823702E"/>
    <w:rsid w:val="48293910"/>
    <w:rsid w:val="484508F0"/>
    <w:rsid w:val="48556B83"/>
    <w:rsid w:val="485C6CF7"/>
    <w:rsid w:val="488B2481"/>
    <w:rsid w:val="488B398A"/>
    <w:rsid w:val="4899147D"/>
    <w:rsid w:val="4899647B"/>
    <w:rsid w:val="489C7C84"/>
    <w:rsid w:val="48AF47AF"/>
    <w:rsid w:val="48CC1A7A"/>
    <w:rsid w:val="48D73CD3"/>
    <w:rsid w:val="48FE3496"/>
    <w:rsid w:val="49122522"/>
    <w:rsid w:val="493112C2"/>
    <w:rsid w:val="493B3E44"/>
    <w:rsid w:val="494752CB"/>
    <w:rsid w:val="494D623F"/>
    <w:rsid w:val="49573612"/>
    <w:rsid w:val="495A1066"/>
    <w:rsid w:val="496A0F0F"/>
    <w:rsid w:val="49870B89"/>
    <w:rsid w:val="498B7499"/>
    <w:rsid w:val="4994583A"/>
    <w:rsid w:val="49994AEE"/>
    <w:rsid w:val="499B29A4"/>
    <w:rsid w:val="499E711C"/>
    <w:rsid w:val="49A009FF"/>
    <w:rsid w:val="49A43885"/>
    <w:rsid w:val="49B333F1"/>
    <w:rsid w:val="49B54192"/>
    <w:rsid w:val="49CA5D47"/>
    <w:rsid w:val="49D055A3"/>
    <w:rsid w:val="49D368C6"/>
    <w:rsid w:val="49EA68AE"/>
    <w:rsid w:val="49ED0743"/>
    <w:rsid w:val="49F07F7F"/>
    <w:rsid w:val="49FF7781"/>
    <w:rsid w:val="4A177FAC"/>
    <w:rsid w:val="4A2703D3"/>
    <w:rsid w:val="4A3D6EE7"/>
    <w:rsid w:val="4A4B3739"/>
    <w:rsid w:val="4A586B1F"/>
    <w:rsid w:val="4A5D0F4B"/>
    <w:rsid w:val="4A8047F5"/>
    <w:rsid w:val="4A826BFC"/>
    <w:rsid w:val="4AA92130"/>
    <w:rsid w:val="4AB00B7D"/>
    <w:rsid w:val="4AC25C40"/>
    <w:rsid w:val="4AD45684"/>
    <w:rsid w:val="4AD76A6F"/>
    <w:rsid w:val="4AF5418E"/>
    <w:rsid w:val="4B1F2ACE"/>
    <w:rsid w:val="4B29052A"/>
    <w:rsid w:val="4B2B7A95"/>
    <w:rsid w:val="4B3D13E2"/>
    <w:rsid w:val="4B3F6203"/>
    <w:rsid w:val="4B53420F"/>
    <w:rsid w:val="4B5E107D"/>
    <w:rsid w:val="4B5F5D97"/>
    <w:rsid w:val="4B662489"/>
    <w:rsid w:val="4B693984"/>
    <w:rsid w:val="4B826FB1"/>
    <w:rsid w:val="4B8A16C8"/>
    <w:rsid w:val="4BAB3CC0"/>
    <w:rsid w:val="4BBC271E"/>
    <w:rsid w:val="4BD37816"/>
    <w:rsid w:val="4BE42462"/>
    <w:rsid w:val="4BF2516E"/>
    <w:rsid w:val="4BF802CD"/>
    <w:rsid w:val="4C0F25B3"/>
    <w:rsid w:val="4C1E7E81"/>
    <w:rsid w:val="4C420FF8"/>
    <w:rsid w:val="4C5612B7"/>
    <w:rsid w:val="4C594381"/>
    <w:rsid w:val="4C632977"/>
    <w:rsid w:val="4C750145"/>
    <w:rsid w:val="4C8D258B"/>
    <w:rsid w:val="4C8F7A74"/>
    <w:rsid w:val="4CAD76F8"/>
    <w:rsid w:val="4CB1543B"/>
    <w:rsid w:val="4CB259D3"/>
    <w:rsid w:val="4CB323F1"/>
    <w:rsid w:val="4CB42734"/>
    <w:rsid w:val="4CD4415E"/>
    <w:rsid w:val="4CD47AD4"/>
    <w:rsid w:val="4CDF1AA0"/>
    <w:rsid w:val="4CEC4D03"/>
    <w:rsid w:val="4CEC7F3A"/>
    <w:rsid w:val="4CED4401"/>
    <w:rsid w:val="4D0025C1"/>
    <w:rsid w:val="4D037B3B"/>
    <w:rsid w:val="4D133C32"/>
    <w:rsid w:val="4D143778"/>
    <w:rsid w:val="4D172B5D"/>
    <w:rsid w:val="4D25642C"/>
    <w:rsid w:val="4D360BDE"/>
    <w:rsid w:val="4D383076"/>
    <w:rsid w:val="4D472B8C"/>
    <w:rsid w:val="4D481C44"/>
    <w:rsid w:val="4D4B06EA"/>
    <w:rsid w:val="4D4B2447"/>
    <w:rsid w:val="4D4C2A1F"/>
    <w:rsid w:val="4D5453D2"/>
    <w:rsid w:val="4D5D73A5"/>
    <w:rsid w:val="4D64367B"/>
    <w:rsid w:val="4D736949"/>
    <w:rsid w:val="4D77528B"/>
    <w:rsid w:val="4D7C3387"/>
    <w:rsid w:val="4DA06EB6"/>
    <w:rsid w:val="4DA34036"/>
    <w:rsid w:val="4DAE6322"/>
    <w:rsid w:val="4DB542D1"/>
    <w:rsid w:val="4DBE3894"/>
    <w:rsid w:val="4DC7410B"/>
    <w:rsid w:val="4DCE640B"/>
    <w:rsid w:val="4DE65C8A"/>
    <w:rsid w:val="4DFB6490"/>
    <w:rsid w:val="4DFC5B78"/>
    <w:rsid w:val="4DFE33DE"/>
    <w:rsid w:val="4E07005C"/>
    <w:rsid w:val="4E152A01"/>
    <w:rsid w:val="4E294E91"/>
    <w:rsid w:val="4E36353B"/>
    <w:rsid w:val="4E4332C9"/>
    <w:rsid w:val="4E455076"/>
    <w:rsid w:val="4E532CE3"/>
    <w:rsid w:val="4E576C2B"/>
    <w:rsid w:val="4E727204"/>
    <w:rsid w:val="4E8872DD"/>
    <w:rsid w:val="4E8A1458"/>
    <w:rsid w:val="4EA945CD"/>
    <w:rsid w:val="4EAC6138"/>
    <w:rsid w:val="4EB83AE6"/>
    <w:rsid w:val="4ED12EEB"/>
    <w:rsid w:val="4ED175AA"/>
    <w:rsid w:val="4EE91179"/>
    <w:rsid w:val="4EED12C0"/>
    <w:rsid w:val="4EF104C6"/>
    <w:rsid w:val="4F034A2D"/>
    <w:rsid w:val="4F0C57DB"/>
    <w:rsid w:val="4F1C79F3"/>
    <w:rsid w:val="4F225FB8"/>
    <w:rsid w:val="4F26006B"/>
    <w:rsid w:val="4F2C6C26"/>
    <w:rsid w:val="4F5F395F"/>
    <w:rsid w:val="4F70494A"/>
    <w:rsid w:val="4F73377D"/>
    <w:rsid w:val="4F7C42B2"/>
    <w:rsid w:val="4F956961"/>
    <w:rsid w:val="4FAB6335"/>
    <w:rsid w:val="4FE82A5C"/>
    <w:rsid w:val="500B7F90"/>
    <w:rsid w:val="50192C57"/>
    <w:rsid w:val="50303B33"/>
    <w:rsid w:val="5039139F"/>
    <w:rsid w:val="503E7890"/>
    <w:rsid w:val="503F3DA8"/>
    <w:rsid w:val="50506243"/>
    <w:rsid w:val="505B0A23"/>
    <w:rsid w:val="505D68BA"/>
    <w:rsid w:val="506F0B89"/>
    <w:rsid w:val="506F2A1A"/>
    <w:rsid w:val="50842477"/>
    <w:rsid w:val="50A539CB"/>
    <w:rsid w:val="50B2115A"/>
    <w:rsid w:val="50C75288"/>
    <w:rsid w:val="50CC6008"/>
    <w:rsid w:val="50D50D78"/>
    <w:rsid w:val="50D7640E"/>
    <w:rsid w:val="50E35B49"/>
    <w:rsid w:val="50FE6D11"/>
    <w:rsid w:val="50FF52A4"/>
    <w:rsid w:val="51092589"/>
    <w:rsid w:val="51274D71"/>
    <w:rsid w:val="51365C31"/>
    <w:rsid w:val="51375E1C"/>
    <w:rsid w:val="5156088A"/>
    <w:rsid w:val="515713BF"/>
    <w:rsid w:val="515D2355"/>
    <w:rsid w:val="51672226"/>
    <w:rsid w:val="516823F6"/>
    <w:rsid w:val="517A4CCF"/>
    <w:rsid w:val="51965180"/>
    <w:rsid w:val="519D661A"/>
    <w:rsid w:val="519F3BF7"/>
    <w:rsid w:val="51AD165C"/>
    <w:rsid w:val="51AF2465"/>
    <w:rsid w:val="51C12635"/>
    <w:rsid w:val="51C62BBB"/>
    <w:rsid w:val="51CA22EF"/>
    <w:rsid w:val="51EC0F49"/>
    <w:rsid w:val="51EC1BE2"/>
    <w:rsid w:val="51FC6F1B"/>
    <w:rsid w:val="52065BF1"/>
    <w:rsid w:val="52430E80"/>
    <w:rsid w:val="52591B13"/>
    <w:rsid w:val="527E03C8"/>
    <w:rsid w:val="528377D0"/>
    <w:rsid w:val="52B32C59"/>
    <w:rsid w:val="52B820F9"/>
    <w:rsid w:val="52BB2E76"/>
    <w:rsid w:val="52C32436"/>
    <w:rsid w:val="52D31B27"/>
    <w:rsid w:val="53023BA5"/>
    <w:rsid w:val="53035812"/>
    <w:rsid w:val="53255818"/>
    <w:rsid w:val="53287F2A"/>
    <w:rsid w:val="53467537"/>
    <w:rsid w:val="534929D5"/>
    <w:rsid w:val="534A28FD"/>
    <w:rsid w:val="535B65FF"/>
    <w:rsid w:val="535E107A"/>
    <w:rsid w:val="537E79C8"/>
    <w:rsid w:val="539C7FE8"/>
    <w:rsid w:val="53A81ACF"/>
    <w:rsid w:val="53B92C8F"/>
    <w:rsid w:val="53BD27C3"/>
    <w:rsid w:val="53D90145"/>
    <w:rsid w:val="53F004AB"/>
    <w:rsid w:val="53FC3823"/>
    <w:rsid w:val="540F4B0C"/>
    <w:rsid w:val="54163684"/>
    <w:rsid w:val="542676EE"/>
    <w:rsid w:val="54271D7B"/>
    <w:rsid w:val="543F1BC8"/>
    <w:rsid w:val="54406394"/>
    <w:rsid w:val="544A1711"/>
    <w:rsid w:val="544F1DC8"/>
    <w:rsid w:val="54543417"/>
    <w:rsid w:val="545F5880"/>
    <w:rsid w:val="54610C00"/>
    <w:rsid w:val="54681348"/>
    <w:rsid w:val="54764BB4"/>
    <w:rsid w:val="547B0764"/>
    <w:rsid w:val="54955D31"/>
    <w:rsid w:val="54D46BC2"/>
    <w:rsid w:val="54E91DA8"/>
    <w:rsid w:val="54EF6FC6"/>
    <w:rsid w:val="550808A1"/>
    <w:rsid w:val="55081ACE"/>
    <w:rsid w:val="551256CF"/>
    <w:rsid w:val="55203E69"/>
    <w:rsid w:val="55302C70"/>
    <w:rsid w:val="554C1271"/>
    <w:rsid w:val="554F7675"/>
    <w:rsid w:val="55526333"/>
    <w:rsid w:val="55543A30"/>
    <w:rsid w:val="55582A77"/>
    <w:rsid w:val="5560785E"/>
    <w:rsid w:val="557B025B"/>
    <w:rsid w:val="558B03C6"/>
    <w:rsid w:val="55A05BF6"/>
    <w:rsid w:val="55AB48E4"/>
    <w:rsid w:val="55CB75E6"/>
    <w:rsid w:val="55EE1FF3"/>
    <w:rsid w:val="55EE7DE1"/>
    <w:rsid w:val="56213187"/>
    <w:rsid w:val="5632288C"/>
    <w:rsid w:val="56512B12"/>
    <w:rsid w:val="56547982"/>
    <w:rsid w:val="56575A47"/>
    <w:rsid w:val="566053C5"/>
    <w:rsid w:val="566E3C21"/>
    <w:rsid w:val="567C4276"/>
    <w:rsid w:val="56996B54"/>
    <w:rsid w:val="569F7581"/>
    <w:rsid w:val="56A312AB"/>
    <w:rsid w:val="56B61F64"/>
    <w:rsid w:val="56BA09F8"/>
    <w:rsid w:val="56BA1189"/>
    <w:rsid w:val="56BB4967"/>
    <w:rsid w:val="56BF7058"/>
    <w:rsid w:val="56C06575"/>
    <w:rsid w:val="56D47E47"/>
    <w:rsid w:val="56E17A9D"/>
    <w:rsid w:val="56E52BE8"/>
    <w:rsid w:val="56F017D8"/>
    <w:rsid w:val="56F238FE"/>
    <w:rsid w:val="56F9028B"/>
    <w:rsid w:val="56FD4A45"/>
    <w:rsid w:val="57124C85"/>
    <w:rsid w:val="5723439A"/>
    <w:rsid w:val="572869E1"/>
    <w:rsid w:val="574E4280"/>
    <w:rsid w:val="57566357"/>
    <w:rsid w:val="577D7148"/>
    <w:rsid w:val="579F2EC9"/>
    <w:rsid w:val="57B11A6C"/>
    <w:rsid w:val="57BF2CAB"/>
    <w:rsid w:val="57C31702"/>
    <w:rsid w:val="57C52F10"/>
    <w:rsid w:val="57DF7179"/>
    <w:rsid w:val="57E12983"/>
    <w:rsid w:val="58065ED0"/>
    <w:rsid w:val="58144062"/>
    <w:rsid w:val="581648F7"/>
    <w:rsid w:val="584B3EB6"/>
    <w:rsid w:val="584C7C5B"/>
    <w:rsid w:val="586F4B1A"/>
    <w:rsid w:val="587F3449"/>
    <w:rsid w:val="588B1C74"/>
    <w:rsid w:val="58930375"/>
    <w:rsid w:val="589F7855"/>
    <w:rsid w:val="58AB3DE7"/>
    <w:rsid w:val="58C6785A"/>
    <w:rsid w:val="58EE2D6D"/>
    <w:rsid w:val="59041B78"/>
    <w:rsid w:val="5908319A"/>
    <w:rsid w:val="59130C50"/>
    <w:rsid w:val="592527B9"/>
    <w:rsid w:val="592559D6"/>
    <w:rsid w:val="592D7108"/>
    <w:rsid w:val="59324E4F"/>
    <w:rsid w:val="593500AC"/>
    <w:rsid w:val="593D3B8D"/>
    <w:rsid w:val="59464292"/>
    <w:rsid w:val="595065D8"/>
    <w:rsid w:val="595A7D0F"/>
    <w:rsid w:val="595E5F0F"/>
    <w:rsid w:val="59685452"/>
    <w:rsid w:val="59731C52"/>
    <w:rsid w:val="598665A7"/>
    <w:rsid w:val="5989399B"/>
    <w:rsid w:val="59AB1665"/>
    <w:rsid w:val="59B73CB5"/>
    <w:rsid w:val="59C0060D"/>
    <w:rsid w:val="59C06238"/>
    <w:rsid w:val="59C829E9"/>
    <w:rsid w:val="59CC3FCE"/>
    <w:rsid w:val="5A031DAA"/>
    <w:rsid w:val="5A037A1D"/>
    <w:rsid w:val="5A1168D7"/>
    <w:rsid w:val="5A143E78"/>
    <w:rsid w:val="5A460C39"/>
    <w:rsid w:val="5A50705A"/>
    <w:rsid w:val="5A54693C"/>
    <w:rsid w:val="5A633B6A"/>
    <w:rsid w:val="5A7432E7"/>
    <w:rsid w:val="5A762E66"/>
    <w:rsid w:val="5A840C7F"/>
    <w:rsid w:val="5A841DF0"/>
    <w:rsid w:val="5A891484"/>
    <w:rsid w:val="5A9C34BF"/>
    <w:rsid w:val="5AB20948"/>
    <w:rsid w:val="5AC635E3"/>
    <w:rsid w:val="5ACF5235"/>
    <w:rsid w:val="5AD0350B"/>
    <w:rsid w:val="5AED13E6"/>
    <w:rsid w:val="5AFC2C43"/>
    <w:rsid w:val="5AFE4F60"/>
    <w:rsid w:val="5B060FA0"/>
    <w:rsid w:val="5B191E46"/>
    <w:rsid w:val="5B2063C2"/>
    <w:rsid w:val="5B601F21"/>
    <w:rsid w:val="5B710B1A"/>
    <w:rsid w:val="5B9443AE"/>
    <w:rsid w:val="5BA663E4"/>
    <w:rsid w:val="5BB130EA"/>
    <w:rsid w:val="5BB20970"/>
    <w:rsid w:val="5BB64944"/>
    <w:rsid w:val="5BC73CCC"/>
    <w:rsid w:val="5BCD5D0F"/>
    <w:rsid w:val="5BD914F5"/>
    <w:rsid w:val="5BD93524"/>
    <w:rsid w:val="5BE04237"/>
    <w:rsid w:val="5BEB3209"/>
    <w:rsid w:val="5BF11612"/>
    <w:rsid w:val="5BFF6366"/>
    <w:rsid w:val="5C0278CE"/>
    <w:rsid w:val="5C0C4B62"/>
    <w:rsid w:val="5C35533B"/>
    <w:rsid w:val="5C3B4BDB"/>
    <w:rsid w:val="5C502CD8"/>
    <w:rsid w:val="5C670967"/>
    <w:rsid w:val="5CA21708"/>
    <w:rsid w:val="5CA75F00"/>
    <w:rsid w:val="5CB42727"/>
    <w:rsid w:val="5CC87271"/>
    <w:rsid w:val="5CE17491"/>
    <w:rsid w:val="5CE93067"/>
    <w:rsid w:val="5CEB22BF"/>
    <w:rsid w:val="5CF04C3B"/>
    <w:rsid w:val="5CF66173"/>
    <w:rsid w:val="5D451EC4"/>
    <w:rsid w:val="5D591458"/>
    <w:rsid w:val="5D667815"/>
    <w:rsid w:val="5D8B55E6"/>
    <w:rsid w:val="5D92768C"/>
    <w:rsid w:val="5D9A1F7D"/>
    <w:rsid w:val="5DA00BFE"/>
    <w:rsid w:val="5DAB0E15"/>
    <w:rsid w:val="5DB15196"/>
    <w:rsid w:val="5DB2669C"/>
    <w:rsid w:val="5DBC4B7C"/>
    <w:rsid w:val="5DC41FD9"/>
    <w:rsid w:val="5DC507B3"/>
    <w:rsid w:val="5DC941DF"/>
    <w:rsid w:val="5DDE4484"/>
    <w:rsid w:val="5DE27DFD"/>
    <w:rsid w:val="5DE4597B"/>
    <w:rsid w:val="5DE76DA1"/>
    <w:rsid w:val="5DE84B11"/>
    <w:rsid w:val="5DFF40D4"/>
    <w:rsid w:val="5E0264A6"/>
    <w:rsid w:val="5E027371"/>
    <w:rsid w:val="5E0A7FC1"/>
    <w:rsid w:val="5E122030"/>
    <w:rsid w:val="5E2B6F5D"/>
    <w:rsid w:val="5E2B7996"/>
    <w:rsid w:val="5E4A2C28"/>
    <w:rsid w:val="5E5A3CBA"/>
    <w:rsid w:val="5E5E7D9F"/>
    <w:rsid w:val="5E5F003E"/>
    <w:rsid w:val="5E5F3F35"/>
    <w:rsid w:val="5E627BF2"/>
    <w:rsid w:val="5E652AFE"/>
    <w:rsid w:val="5E7D4403"/>
    <w:rsid w:val="5E835FAF"/>
    <w:rsid w:val="5E926684"/>
    <w:rsid w:val="5E9F2BE9"/>
    <w:rsid w:val="5EB32D58"/>
    <w:rsid w:val="5EF0485C"/>
    <w:rsid w:val="5EFD7A55"/>
    <w:rsid w:val="5F07043A"/>
    <w:rsid w:val="5F0F567E"/>
    <w:rsid w:val="5F212C8F"/>
    <w:rsid w:val="5F2C0867"/>
    <w:rsid w:val="5F2E67D4"/>
    <w:rsid w:val="5F4265BB"/>
    <w:rsid w:val="5F5930E0"/>
    <w:rsid w:val="5F69444D"/>
    <w:rsid w:val="5F784EC0"/>
    <w:rsid w:val="5F815E94"/>
    <w:rsid w:val="5F897B9A"/>
    <w:rsid w:val="5F9C4306"/>
    <w:rsid w:val="5F9E542C"/>
    <w:rsid w:val="5FA61982"/>
    <w:rsid w:val="5FAE37BE"/>
    <w:rsid w:val="5FB058F0"/>
    <w:rsid w:val="5FCB496A"/>
    <w:rsid w:val="5FCE471B"/>
    <w:rsid w:val="5FD1125F"/>
    <w:rsid w:val="5FD61B77"/>
    <w:rsid w:val="5FFC4E22"/>
    <w:rsid w:val="601514FF"/>
    <w:rsid w:val="601B4925"/>
    <w:rsid w:val="602571C5"/>
    <w:rsid w:val="602D3F5E"/>
    <w:rsid w:val="602E4ED5"/>
    <w:rsid w:val="60374EE9"/>
    <w:rsid w:val="60465556"/>
    <w:rsid w:val="604C3F08"/>
    <w:rsid w:val="60643B7C"/>
    <w:rsid w:val="60663BC0"/>
    <w:rsid w:val="60857A1D"/>
    <w:rsid w:val="609A6681"/>
    <w:rsid w:val="609C4358"/>
    <w:rsid w:val="60A02C83"/>
    <w:rsid w:val="60A671C2"/>
    <w:rsid w:val="60AA76D2"/>
    <w:rsid w:val="60D208CF"/>
    <w:rsid w:val="60D76BF6"/>
    <w:rsid w:val="60FE64EF"/>
    <w:rsid w:val="611A62A7"/>
    <w:rsid w:val="61240782"/>
    <w:rsid w:val="61333280"/>
    <w:rsid w:val="613C7788"/>
    <w:rsid w:val="614312AB"/>
    <w:rsid w:val="615951F0"/>
    <w:rsid w:val="61785D8A"/>
    <w:rsid w:val="617D35B4"/>
    <w:rsid w:val="61911E57"/>
    <w:rsid w:val="61935683"/>
    <w:rsid w:val="61AF1997"/>
    <w:rsid w:val="61BF4C86"/>
    <w:rsid w:val="61CE35DD"/>
    <w:rsid w:val="61D06C99"/>
    <w:rsid w:val="61E16ED5"/>
    <w:rsid w:val="62081869"/>
    <w:rsid w:val="62095B07"/>
    <w:rsid w:val="62123CBD"/>
    <w:rsid w:val="62282E74"/>
    <w:rsid w:val="623D5C30"/>
    <w:rsid w:val="62704115"/>
    <w:rsid w:val="627474B0"/>
    <w:rsid w:val="62A41BDD"/>
    <w:rsid w:val="62A676BE"/>
    <w:rsid w:val="62A71BEC"/>
    <w:rsid w:val="62B54502"/>
    <w:rsid w:val="62CE5CEA"/>
    <w:rsid w:val="62DB7456"/>
    <w:rsid w:val="62DC3F99"/>
    <w:rsid w:val="62E53EC2"/>
    <w:rsid w:val="62E94847"/>
    <w:rsid w:val="62F8106F"/>
    <w:rsid w:val="62FF52DE"/>
    <w:rsid w:val="63025D54"/>
    <w:rsid w:val="63083846"/>
    <w:rsid w:val="631606F2"/>
    <w:rsid w:val="631D4CD3"/>
    <w:rsid w:val="632A650A"/>
    <w:rsid w:val="632B766E"/>
    <w:rsid w:val="636D1448"/>
    <w:rsid w:val="636F4402"/>
    <w:rsid w:val="6375336C"/>
    <w:rsid w:val="637874E2"/>
    <w:rsid w:val="638E4AF0"/>
    <w:rsid w:val="63CC7BD4"/>
    <w:rsid w:val="63E76635"/>
    <w:rsid w:val="63F714F2"/>
    <w:rsid w:val="63FF1319"/>
    <w:rsid w:val="640867BD"/>
    <w:rsid w:val="641521CA"/>
    <w:rsid w:val="641B0AA7"/>
    <w:rsid w:val="642407EA"/>
    <w:rsid w:val="64331834"/>
    <w:rsid w:val="643344A4"/>
    <w:rsid w:val="64373B2D"/>
    <w:rsid w:val="643B0820"/>
    <w:rsid w:val="643F43A1"/>
    <w:rsid w:val="64472F12"/>
    <w:rsid w:val="645E341C"/>
    <w:rsid w:val="64646ABF"/>
    <w:rsid w:val="64801E41"/>
    <w:rsid w:val="6481649B"/>
    <w:rsid w:val="648A00C2"/>
    <w:rsid w:val="64B62F0C"/>
    <w:rsid w:val="64BE7DAD"/>
    <w:rsid w:val="64CA1CE5"/>
    <w:rsid w:val="64F52ED5"/>
    <w:rsid w:val="64F61A9D"/>
    <w:rsid w:val="651217BE"/>
    <w:rsid w:val="6518431D"/>
    <w:rsid w:val="65374B3F"/>
    <w:rsid w:val="655B2B31"/>
    <w:rsid w:val="6567006F"/>
    <w:rsid w:val="656B5A4F"/>
    <w:rsid w:val="658E2B92"/>
    <w:rsid w:val="659F3A31"/>
    <w:rsid w:val="65AA0F4D"/>
    <w:rsid w:val="65BD3088"/>
    <w:rsid w:val="65BD5A34"/>
    <w:rsid w:val="65BE2749"/>
    <w:rsid w:val="65C2558A"/>
    <w:rsid w:val="65C819B9"/>
    <w:rsid w:val="65CB6535"/>
    <w:rsid w:val="65DD75E1"/>
    <w:rsid w:val="65F453F0"/>
    <w:rsid w:val="66006F1F"/>
    <w:rsid w:val="66074D59"/>
    <w:rsid w:val="660B43F9"/>
    <w:rsid w:val="660B4978"/>
    <w:rsid w:val="661853F2"/>
    <w:rsid w:val="661B37D8"/>
    <w:rsid w:val="662168FD"/>
    <w:rsid w:val="66274916"/>
    <w:rsid w:val="66303C5F"/>
    <w:rsid w:val="6656135B"/>
    <w:rsid w:val="66705D0F"/>
    <w:rsid w:val="669E26A3"/>
    <w:rsid w:val="66A84582"/>
    <w:rsid w:val="66C12E3F"/>
    <w:rsid w:val="66C32A18"/>
    <w:rsid w:val="66C679CB"/>
    <w:rsid w:val="67243DE3"/>
    <w:rsid w:val="672765C4"/>
    <w:rsid w:val="673167F6"/>
    <w:rsid w:val="673A4333"/>
    <w:rsid w:val="673B09B9"/>
    <w:rsid w:val="67554D1D"/>
    <w:rsid w:val="675A6A4F"/>
    <w:rsid w:val="67633B2D"/>
    <w:rsid w:val="67712735"/>
    <w:rsid w:val="67757D3B"/>
    <w:rsid w:val="679445CB"/>
    <w:rsid w:val="67A04FD9"/>
    <w:rsid w:val="67A86798"/>
    <w:rsid w:val="67AD496D"/>
    <w:rsid w:val="67B3053D"/>
    <w:rsid w:val="67BB241F"/>
    <w:rsid w:val="67C44123"/>
    <w:rsid w:val="67D33745"/>
    <w:rsid w:val="67DB78EF"/>
    <w:rsid w:val="67ED3F06"/>
    <w:rsid w:val="67F2274D"/>
    <w:rsid w:val="67F35805"/>
    <w:rsid w:val="67F463A7"/>
    <w:rsid w:val="67F5286B"/>
    <w:rsid w:val="68027D46"/>
    <w:rsid w:val="680F6BE6"/>
    <w:rsid w:val="681A7F76"/>
    <w:rsid w:val="681B7B8F"/>
    <w:rsid w:val="68285405"/>
    <w:rsid w:val="682B5B4F"/>
    <w:rsid w:val="682F2974"/>
    <w:rsid w:val="68403C62"/>
    <w:rsid w:val="68447012"/>
    <w:rsid w:val="68451C46"/>
    <w:rsid w:val="68466145"/>
    <w:rsid w:val="684922CA"/>
    <w:rsid w:val="684B1AF7"/>
    <w:rsid w:val="68595939"/>
    <w:rsid w:val="686C736B"/>
    <w:rsid w:val="68755C38"/>
    <w:rsid w:val="687572DE"/>
    <w:rsid w:val="687D2781"/>
    <w:rsid w:val="68863063"/>
    <w:rsid w:val="688B7A7C"/>
    <w:rsid w:val="68935705"/>
    <w:rsid w:val="6897358F"/>
    <w:rsid w:val="68B2343E"/>
    <w:rsid w:val="69010324"/>
    <w:rsid w:val="690838D2"/>
    <w:rsid w:val="69104EE5"/>
    <w:rsid w:val="69391F0E"/>
    <w:rsid w:val="6971078F"/>
    <w:rsid w:val="69907B20"/>
    <w:rsid w:val="69AA6816"/>
    <w:rsid w:val="69CD38F4"/>
    <w:rsid w:val="69CE0F3B"/>
    <w:rsid w:val="69CE7E26"/>
    <w:rsid w:val="69E96B64"/>
    <w:rsid w:val="69FB577B"/>
    <w:rsid w:val="69FF723A"/>
    <w:rsid w:val="6A0106A0"/>
    <w:rsid w:val="6A035371"/>
    <w:rsid w:val="6A093926"/>
    <w:rsid w:val="6A121A1D"/>
    <w:rsid w:val="6A146190"/>
    <w:rsid w:val="6A1779CA"/>
    <w:rsid w:val="6A234DEC"/>
    <w:rsid w:val="6A253D01"/>
    <w:rsid w:val="6A2A0A8A"/>
    <w:rsid w:val="6A323429"/>
    <w:rsid w:val="6A3458B4"/>
    <w:rsid w:val="6A4024C0"/>
    <w:rsid w:val="6A4F35F1"/>
    <w:rsid w:val="6A5207E5"/>
    <w:rsid w:val="6A5509BC"/>
    <w:rsid w:val="6A69181A"/>
    <w:rsid w:val="6A722DBD"/>
    <w:rsid w:val="6A7F7D2E"/>
    <w:rsid w:val="6A930D32"/>
    <w:rsid w:val="6AB9771F"/>
    <w:rsid w:val="6AC12166"/>
    <w:rsid w:val="6AC527A7"/>
    <w:rsid w:val="6ACC24E8"/>
    <w:rsid w:val="6ACC6D1D"/>
    <w:rsid w:val="6AD6594B"/>
    <w:rsid w:val="6AF71378"/>
    <w:rsid w:val="6AFC24E6"/>
    <w:rsid w:val="6B162968"/>
    <w:rsid w:val="6B1F5BB3"/>
    <w:rsid w:val="6B260172"/>
    <w:rsid w:val="6B2C2384"/>
    <w:rsid w:val="6B356DC6"/>
    <w:rsid w:val="6B365058"/>
    <w:rsid w:val="6B555EB4"/>
    <w:rsid w:val="6B6C182D"/>
    <w:rsid w:val="6B6E7148"/>
    <w:rsid w:val="6B712F1D"/>
    <w:rsid w:val="6B7B55D5"/>
    <w:rsid w:val="6B870FB3"/>
    <w:rsid w:val="6B8E6DCF"/>
    <w:rsid w:val="6BAF1653"/>
    <w:rsid w:val="6BBE4A57"/>
    <w:rsid w:val="6BD003ED"/>
    <w:rsid w:val="6BD975E5"/>
    <w:rsid w:val="6BDA492E"/>
    <w:rsid w:val="6BDB2120"/>
    <w:rsid w:val="6BFE7349"/>
    <w:rsid w:val="6C08240D"/>
    <w:rsid w:val="6C302978"/>
    <w:rsid w:val="6C330994"/>
    <w:rsid w:val="6C8053CB"/>
    <w:rsid w:val="6C92485D"/>
    <w:rsid w:val="6CA53164"/>
    <w:rsid w:val="6CAE75DB"/>
    <w:rsid w:val="6CAF1CBF"/>
    <w:rsid w:val="6CB57784"/>
    <w:rsid w:val="6CBA3A8D"/>
    <w:rsid w:val="6CC6041C"/>
    <w:rsid w:val="6CCB0346"/>
    <w:rsid w:val="6CD30EFC"/>
    <w:rsid w:val="6CDF49FF"/>
    <w:rsid w:val="6CFD5C99"/>
    <w:rsid w:val="6CFF3442"/>
    <w:rsid w:val="6CFF34DC"/>
    <w:rsid w:val="6D277249"/>
    <w:rsid w:val="6D291F0B"/>
    <w:rsid w:val="6D3C2584"/>
    <w:rsid w:val="6D5177BB"/>
    <w:rsid w:val="6D6C2A8C"/>
    <w:rsid w:val="6D6D090F"/>
    <w:rsid w:val="6D942084"/>
    <w:rsid w:val="6DA704E8"/>
    <w:rsid w:val="6DCE5A7E"/>
    <w:rsid w:val="6DD61A2A"/>
    <w:rsid w:val="6DD61B33"/>
    <w:rsid w:val="6DD77D75"/>
    <w:rsid w:val="6DEA552E"/>
    <w:rsid w:val="6DFC1A9F"/>
    <w:rsid w:val="6E0A6C7F"/>
    <w:rsid w:val="6E0F635D"/>
    <w:rsid w:val="6E3C767C"/>
    <w:rsid w:val="6E4A3A3E"/>
    <w:rsid w:val="6E5F7489"/>
    <w:rsid w:val="6E69495D"/>
    <w:rsid w:val="6E6A7380"/>
    <w:rsid w:val="6E8F2D59"/>
    <w:rsid w:val="6E8F30F6"/>
    <w:rsid w:val="6E9206EE"/>
    <w:rsid w:val="6E9854C5"/>
    <w:rsid w:val="6E9D542E"/>
    <w:rsid w:val="6EA22DEC"/>
    <w:rsid w:val="6EBB77F2"/>
    <w:rsid w:val="6EBD7018"/>
    <w:rsid w:val="6EC47A1F"/>
    <w:rsid w:val="6ED82C1C"/>
    <w:rsid w:val="6ED9015C"/>
    <w:rsid w:val="6EE71A47"/>
    <w:rsid w:val="6EEC2454"/>
    <w:rsid w:val="6F0546B4"/>
    <w:rsid w:val="6F0C5B10"/>
    <w:rsid w:val="6F183DE3"/>
    <w:rsid w:val="6F306980"/>
    <w:rsid w:val="6F587A6A"/>
    <w:rsid w:val="6F6015B0"/>
    <w:rsid w:val="6F6310B0"/>
    <w:rsid w:val="6F66212B"/>
    <w:rsid w:val="6F776A4D"/>
    <w:rsid w:val="6F781ADE"/>
    <w:rsid w:val="6F792362"/>
    <w:rsid w:val="6F7F499E"/>
    <w:rsid w:val="6FC93CAE"/>
    <w:rsid w:val="6FD13B67"/>
    <w:rsid w:val="6FDC4601"/>
    <w:rsid w:val="6FE44BE8"/>
    <w:rsid w:val="6FFE5DB0"/>
    <w:rsid w:val="700B2062"/>
    <w:rsid w:val="700F7284"/>
    <w:rsid w:val="70210571"/>
    <w:rsid w:val="707D75CB"/>
    <w:rsid w:val="70836DAA"/>
    <w:rsid w:val="70885B87"/>
    <w:rsid w:val="709B2A28"/>
    <w:rsid w:val="70AB146A"/>
    <w:rsid w:val="70AF07AC"/>
    <w:rsid w:val="70BC76E7"/>
    <w:rsid w:val="70CB53BE"/>
    <w:rsid w:val="70E263EE"/>
    <w:rsid w:val="70E26FC3"/>
    <w:rsid w:val="70E57CB6"/>
    <w:rsid w:val="70EA3344"/>
    <w:rsid w:val="71063ADE"/>
    <w:rsid w:val="711F6600"/>
    <w:rsid w:val="71290657"/>
    <w:rsid w:val="71297C64"/>
    <w:rsid w:val="71385FA5"/>
    <w:rsid w:val="7156574F"/>
    <w:rsid w:val="718B60C4"/>
    <w:rsid w:val="71BC51DB"/>
    <w:rsid w:val="71C25589"/>
    <w:rsid w:val="71C774E6"/>
    <w:rsid w:val="71F20B94"/>
    <w:rsid w:val="720D767F"/>
    <w:rsid w:val="722D5F7C"/>
    <w:rsid w:val="722E2DDD"/>
    <w:rsid w:val="723B3C45"/>
    <w:rsid w:val="723F441A"/>
    <w:rsid w:val="723F59ED"/>
    <w:rsid w:val="724B314E"/>
    <w:rsid w:val="72571762"/>
    <w:rsid w:val="72680605"/>
    <w:rsid w:val="728530B3"/>
    <w:rsid w:val="72997CA0"/>
    <w:rsid w:val="72A66784"/>
    <w:rsid w:val="72B722A1"/>
    <w:rsid w:val="72DD5FE0"/>
    <w:rsid w:val="72FA33A3"/>
    <w:rsid w:val="730D34CD"/>
    <w:rsid w:val="731042E9"/>
    <w:rsid w:val="73127C5B"/>
    <w:rsid w:val="731B1A0B"/>
    <w:rsid w:val="731C05C5"/>
    <w:rsid w:val="732A66A9"/>
    <w:rsid w:val="732E67ED"/>
    <w:rsid w:val="732F6509"/>
    <w:rsid w:val="734B3F8C"/>
    <w:rsid w:val="73532157"/>
    <w:rsid w:val="73572085"/>
    <w:rsid w:val="7383379C"/>
    <w:rsid w:val="73894C54"/>
    <w:rsid w:val="73901955"/>
    <w:rsid w:val="73AB1AC7"/>
    <w:rsid w:val="73AB7B75"/>
    <w:rsid w:val="73B92054"/>
    <w:rsid w:val="73C61889"/>
    <w:rsid w:val="73DA3D5A"/>
    <w:rsid w:val="73F25D16"/>
    <w:rsid w:val="74016D93"/>
    <w:rsid w:val="74022F19"/>
    <w:rsid w:val="740530D0"/>
    <w:rsid w:val="742811FB"/>
    <w:rsid w:val="742D6A1A"/>
    <w:rsid w:val="743E71F9"/>
    <w:rsid w:val="745942F1"/>
    <w:rsid w:val="74693498"/>
    <w:rsid w:val="746B312F"/>
    <w:rsid w:val="74875355"/>
    <w:rsid w:val="748F08C4"/>
    <w:rsid w:val="749903F7"/>
    <w:rsid w:val="74A52329"/>
    <w:rsid w:val="74AA0B58"/>
    <w:rsid w:val="74AD473F"/>
    <w:rsid w:val="74CD4263"/>
    <w:rsid w:val="74CF564B"/>
    <w:rsid w:val="74D675EE"/>
    <w:rsid w:val="74F07B7C"/>
    <w:rsid w:val="74FF11A5"/>
    <w:rsid w:val="752A4B50"/>
    <w:rsid w:val="752D7C5A"/>
    <w:rsid w:val="753D6DBD"/>
    <w:rsid w:val="755D6B6F"/>
    <w:rsid w:val="75713033"/>
    <w:rsid w:val="759078AB"/>
    <w:rsid w:val="75B53406"/>
    <w:rsid w:val="75C521C6"/>
    <w:rsid w:val="75D32F8F"/>
    <w:rsid w:val="76001038"/>
    <w:rsid w:val="7603081B"/>
    <w:rsid w:val="762505F1"/>
    <w:rsid w:val="762E6658"/>
    <w:rsid w:val="764A4F6C"/>
    <w:rsid w:val="764B1189"/>
    <w:rsid w:val="764C2FD8"/>
    <w:rsid w:val="766208A9"/>
    <w:rsid w:val="7669077D"/>
    <w:rsid w:val="766E67F9"/>
    <w:rsid w:val="7679255D"/>
    <w:rsid w:val="767A1B3D"/>
    <w:rsid w:val="76821248"/>
    <w:rsid w:val="769C347F"/>
    <w:rsid w:val="76AB0ED4"/>
    <w:rsid w:val="76AB1C9B"/>
    <w:rsid w:val="76B41C3A"/>
    <w:rsid w:val="76CE2C7A"/>
    <w:rsid w:val="76CF0843"/>
    <w:rsid w:val="76DA4D04"/>
    <w:rsid w:val="76DE2C78"/>
    <w:rsid w:val="76EB3DAE"/>
    <w:rsid w:val="76EF5424"/>
    <w:rsid w:val="76F8297F"/>
    <w:rsid w:val="77001DA7"/>
    <w:rsid w:val="77086045"/>
    <w:rsid w:val="770F5114"/>
    <w:rsid w:val="770F6E03"/>
    <w:rsid w:val="77103FCB"/>
    <w:rsid w:val="771912D2"/>
    <w:rsid w:val="771E4A32"/>
    <w:rsid w:val="77251A07"/>
    <w:rsid w:val="7735786E"/>
    <w:rsid w:val="7738669B"/>
    <w:rsid w:val="774024A2"/>
    <w:rsid w:val="77463875"/>
    <w:rsid w:val="774D1C12"/>
    <w:rsid w:val="775606C2"/>
    <w:rsid w:val="7756319C"/>
    <w:rsid w:val="776530C5"/>
    <w:rsid w:val="777122FA"/>
    <w:rsid w:val="77793D64"/>
    <w:rsid w:val="77953458"/>
    <w:rsid w:val="77A60077"/>
    <w:rsid w:val="77A97253"/>
    <w:rsid w:val="77B5351D"/>
    <w:rsid w:val="77D966E1"/>
    <w:rsid w:val="77E1237A"/>
    <w:rsid w:val="77FD411D"/>
    <w:rsid w:val="780158DF"/>
    <w:rsid w:val="783675D2"/>
    <w:rsid w:val="7838485A"/>
    <w:rsid w:val="78470A83"/>
    <w:rsid w:val="78600EE2"/>
    <w:rsid w:val="787022FA"/>
    <w:rsid w:val="78896323"/>
    <w:rsid w:val="78922B8D"/>
    <w:rsid w:val="78AA63A5"/>
    <w:rsid w:val="78C14693"/>
    <w:rsid w:val="78CF2105"/>
    <w:rsid w:val="78E65D79"/>
    <w:rsid w:val="791E3251"/>
    <w:rsid w:val="79243BBE"/>
    <w:rsid w:val="792831DE"/>
    <w:rsid w:val="792D1866"/>
    <w:rsid w:val="794719E4"/>
    <w:rsid w:val="79504E27"/>
    <w:rsid w:val="79507C71"/>
    <w:rsid w:val="795F57FD"/>
    <w:rsid w:val="79612CF8"/>
    <w:rsid w:val="79645F4C"/>
    <w:rsid w:val="7967205D"/>
    <w:rsid w:val="796C21AC"/>
    <w:rsid w:val="79837505"/>
    <w:rsid w:val="798F7050"/>
    <w:rsid w:val="79904B76"/>
    <w:rsid w:val="7994409B"/>
    <w:rsid w:val="79962943"/>
    <w:rsid w:val="799757C2"/>
    <w:rsid w:val="799D02B6"/>
    <w:rsid w:val="79B7709A"/>
    <w:rsid w:val="79CA5A82"/>
    <w:rsid w:val="79CC340C"/>
    <w:rsid w:val="79E82CCF"/>
    <w:rsid w:val="79F47910"/>
    <w:rsid w:val="79FF5575"/>
    <w:rsid w:val="7A213967"/>
    <w:rsid w:val="7A2F2568"/>
    <w:rsid w:val="7A3E152C"/>
    <w:rsid w:val="7A3E73FC"/>
    <w:rsid w:val="7A4F6F81"/>
    <w:rsid w:val="7A644FA8"/>
    <w:rsid w:val="7A7B3801"/>
    <w:rsid w:val="7A85372D"/>
    <w:rsid w:val="7A8B4339"/>
    <w:rsid w:val="7AC37898"/>
    <w:rsid w:val="7AC75A3B"/>
    <w:rsid w:val="7AF41398"/>
    <w:rsid w:val="7B042A0F"/>
    <w:rsid w:val="7B0D1DB5"/>
    <w:rsid w:val="7B11563C"/>
    <w:rsid w:val="7B140CE9"/>
    <w:rsid w:val="7B2000C2"/>
    <w:rsid w:val="7B29331B"/>
    <w:rsid w:val="7B381989"/>
    <w:rsid w:val="7B3B3F64"/>
    <w:rsid w:val="7B4A34CD"/>
    <w:rsid w:val="7B567C72"/>
    <w:rsid w:val="7B60265B"/>
    <w:rsid w:val="7B7D7020"/>
    <w:rsid w:val="7B893BA1"/>
    <w:rsid w:val="7B8E57C4"/>
    <w:rsid w:val="7B933AA2"/>
    <w:rsid w:val="7BA63EE8"/>
    <w:rsid w:val="7BB02DF6"/>
    <w:rsid w:val="7BD56B6F"/>
    <w:rsid w:val="7BD83CF9"/>
    <w:rsid w:val="7BE92191"/>
    <w:rsid w:val="7BFE2A1D"/>
    <w:rsid w:val="7C042E2E"/>
    <w:rsid w:val="7C34003E"/>
    <w:rsid w:val="7C38408B"/>
    <w:rsid w:val="7C4E7B9D"/>
    <w:rsid w:val="7C512A8C"/>
    <w:rsid w:val="7C5140B5"/>
    <w:rsid w:val="7C531C9B"/>
    <w:rsid w:val="7C744B7F"/>
    <w:rsid w:val="7C824C18"/>
    <w:rsid w:val="7C855F90"/>
    <w:rsid w:val="7C93620C"/>
    <w:rsid w:val="7C975627"/>
    <w:rsid w:val="7CB265C4"/>
    <w:rsid w:val="7CB446A2"/>
    <w:rsid w:val="7CD465B9"/>
    <w:rsid w:val="7CDE6495"/>
    <w:rsid w:val="7CF14B5B"/>
    <w:rsid w:val="7CF92950"/>
    <w:rsid w:val="7D20590A"/>
    <w:rsid w:val="7D436FB1"/>
    <w:rsid w:val="7D485B58"/>
    <w:rsid w:val="7D4B043A"/>
    <w:rsid w:val="7D555F5C"/>
    <w:rsid w:val="7D5B6E10"/>
    <w:rsid w:val="7D627E7B"/>
    <w:rsid w:val="7D645C12"/>
    <w:rsid w:val="7D6C176F"/>
    <w:rsid w:val="7D7016E1"/>
    <w:rsid w:val="7D724F97"/>
    <w:rsid w:val="7D7D61A8"/>
    <w:rsid w:val="7D8252A3"/>
    <w:rsid w:val="7D902BF8"/>
    <w:rsid w:val="7D927B9D"/>
    <w:rsid w:val="7D9E5F6C"/>
    <w:rsid w:val="7DA30D75"/>
    <w:rsid w:val="7DAA5621"/>
    <w:rsid w:val="7DB82FB6"/>
    <w:rsid w:val="7DB863AA"/>
    <w:rsid w:val="7DBA6CD9"/>
    <w:rsid w:val="7DBD55E8"/>
    <w:rsid w:val="7DCB31B1"/>
    <w:rsid w:val="7DCD4670"/>
    <w:rsid w:val="7DD33FBE"/>
    <w:rsid w:val="7DDB3C71"/>
    <w:rsid w:val="7DE25DDE"/>
    <w:rsid w:val="7E01304D"/>
    <w:rsid w:val="7E0F2022"/>
    <w:rsid w:val="7E150A92"/>
    <w:rsid w:val="7E16173F"/>
    <w:rsid w:val="7E17428D"/>
    <w:rsid w:val="7E2B0E8E"/>
    <w:rsid w:val="7E3D0B53"/>
    <w:rsid w:val="7E3F5B0C"/>
    <w:rsid w:val="7E432EEE"/>
    <w:rsid w:val="7E436FA6"/>
    <w:rsid w:val="7E5529CD"/>
    <w:rsid w:val="7E675070"/>
    <w:rsid w:val="7E6C2799"/>
    <w:rsid w:val="7E6E1BC1"/>
    <w:rsid w:val="7E785D0E"/>
    <w:rsid w:val="7E8709A9"/>
    <w:rsid w:val="7E903729"/>
    <w:rsid w:val="7EA006D6"/>
    <w:rsid w:val="7EA627EE"/>
    <w:rsid w:val="7EBA39CB"/>
    <w:rsid w:val="7EBE1D48"/>
    <w:rsid w:val="7EC80692"/>
    <w:rsid w:val="7ED345AE"/>
    <w:rsid w:val="7EEE709E"/>
    <w:rsid w:val="7F057044"/>
    <w:rsid w:val="7F100169"/>
    <w:rsid w:val="7F1705A8"/>
    <w:rsid w:val="7F220428"/>
    <w:rsid w:val="7F3C352F"/>
    <w:rsid w:val="7F4F2F78"/>
    <w:rsid w:val="7F535E7C"/>
    <w:rsid w:val="7F671C3B"/>
    <w:rsid w:val="7F8014AA"/>
    <w:rsid w:val="7F8E4940"/>
    <w:rsid w:val="7F9314EF"/>
    <w:rsid w:val="7F9E7EFB"/>
    <w:rsid w:val="7FA70F79"/>
    <w:rsid w:val="7FA9641A"/>
    <w:rsid w:val="7FC54C73"/>
    <w:rsid w:val="7FCF31F2"/>
    <w:rsid w:val="7FD11469"/>
    <w:rsid w:val="7FDF5F22"/>
    <w:rsid w:val="7FE60DBC"/>
    <w:rsid w:val="7FF20411"/>
    <w:rsid w:val="7FF65F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480"/>
      <w:contextualSpacing/>
      <w:outlineLvl w:val="0"/>
    </w:pPr>
    <w:rPr>
      <w:rFonts w:ascii="Cambria" w:hAnsi="Cambria"/>
      <w:b/>
      <w:bCs/>
      <w:kern w:val="0"/>
      <w:sz w:val="28"/>
      <w:szCs w:val="28"/>
    </w:rPr>
  </w:style>
  <w:style w:type="paragraph" w:styleId="4">
    <w:name w:val="heading 2"/>
    <w:basedOn w:val="1"/>
    <w:next w:val="1"/>
    <w:qFormat/>
    <w:uiPriority w:val="0"/>
    <w:pPr>
      <w:keepNext/>
      <w:keepLines/>
      <w:spacing w:before="260" w:after="260"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style>
  <w:style w:type="paragraph" w:styleId="5">
    <w:name w:val="table of authorities"/>
    <w:basedOn w:val="1"/>
    <w:next w:val="1"/>
    <w:qFormat/>
    <w:uiPriority w:val="0"/>
    <w:pPr>
      <w:ind w:left="420" w:leftChars="200"/>
    </w:pPr>
    <w:rPr>
      <w:rFonts w:ascii="Times New Roman" w:hAnsi="Times New Roman" w:eastAsia="宋体" w:cs="Times New Roman"/>
    </w:rPr>
  </w:style>
  <w:style w:type="paragraph" w:styleId="6">
    <w:name w:val="annotation text"/>
    <w:basedOn w:val="1"/>
    <w:link w:val="25"/>
    <w:qFormat/>
    <w:uiPriority w:val="0"/>
    <w:pPr>
      <w:jc w:val="left"/>
    </w:pPr>
  </w:style>
  <w:style w:type="paragraph" w:styleId="7">
    <w:name w:val="Balloon Text"/>
    <w:basedOn w:val="1"/>
    <w:link w:val="27"/>
    <w:qFormat/>
    <w:uiPriority w:val="0"/>
    <w:rPr>
      <w:sz w:val="18"/>
      <w:szCs w:val="18"/>
    </w:rPr>
  </w:style>
  <w:style w:type="paragraph" w:styleId="8">
    <w:name w:val="footer"/>
    <w:basedOn w:val="1"/>
    <w:link w:val="21"/>
    <w:qFormat/>
    <w:uiPriority w:val="99"/>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39"/>
  </w:style>
  <w:style w:type="paragraph" w:styleId="11">
    <w:name w:val="toc 2"/>
    <w:basedOn w:val="1"/>
    <w:next w:val="1"/>
    <w:qFormat/>
    <w:uiPriority w:val="0"/>
    <w:pPr>
      <w:ind w:left="420" w:leftChars="200"/>
    </w:pPr>
  </w:style>
  <w:style w:type="paragraph" w:styleId="12">
    <w:name w:val="Normal (Web)"/>
    <w:basedOn w:val="1"/>
    <w:qFormat/>
    <w:uiPriority w:val="0"/>
    <w:pPr>
      <w:spacing w:before="100" w:beforeAutospacing="1" w:after="100" w:afterAutospacing="1"/>
      <w:jc w:val="left"/>
    </w:pPr>
    <w:rPr>
      <w:rFonts w:cs="Times New Roman"/>
      <w:kern w:val="0"/>
      <w:sz w:val="24"/>
    </w:rPr>
  </w:style>
  <w:style w:type="paragraph" w:styleId="13">
    <w:name w:val="annotation subject"/>
    <w:basedOn w:val="6"/>
    <w:next w:val="6"/>
    <w:link w:val="26"/>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page number"/>
    <w:basedOn w:val="16"/>
    <w:qFormat/>
    <w:uiPriority w:val="0"/>
  </w:style>
  <w:style w:type="character" w:styleId="19">
    <w:name w:val="Hyperlink"/>
    <w:basedOn w:val="16"/>
    <w:qFormat/>
    <w:uiPriority w:val="99"/>
    <w:rPr>
      <w:color w:val="333333"/>
      <w:u w:val="none"/>
    </w:rPr>
  </w:style>
  <w:style w:type="character" w:styleId="20">
    <w:name w:val="annotation reference"/>
    <w:basedOn w:val="16"/>
    <w:qFormat/>
    <w:uiPriority w:val="0"/>
    <w:rPr>
      <w:sz w:val="21"/>
      <w:szCs w:val="21"/>
    </w:rPr>
  </w:style>
  <w:style w:type="character" w:customStyle="1" w:styleId="21">
    <w:name w:val="页脚 Char"/>
    <w:basedOn w:val="16"/>
    <w:link w:val="8"/>
    <w:qFormat/>
    <w:uiPriority w:val="99"/>
    <w:rPr>
      <w:rFonts w:asciiTheme="minorHAnsi" w:hAnsiTheme="minorHAnsi" w:eastAsiaTheme="minorEastAsia" w:cstheme="minorBidi"/>
      <w:kern w:val="2"/>
      <w:sz w:val="18"/>
      <w:szCs w:val="24"/>
    </w:rPr>
  </w:style>
  <w:style w:type="paragraph" w:customStyle="1" w:styleId="22">
    <w:name w:val="WPSOffice手动目录 1"/>
    <w:qFormat/>
    <w:uiPriority w:val="0"/>
    <w:rPr>
      <w:rFonts w:ascii="Calibri" w:hAnsi="Calibri" w:eastAsia="宋体" w:cs="Times New Roman"/>
      <w:lang w:val="en-US" w:eastAsia="zh-CN" w:bidi="ar-SA"/>
    </w:rPr>
  </w:style>
  <w:style w:type="paragraph" w:customStyle="1" w:styleId="23">
    <w:name w:val="WPSOffice手动目录 2"/>
    <w:qFormat/>
    <w:uiPriority w:val="0"/>
    <w:pPr>
      <w:ind w:left="200" w:leftChars="200"/>
    </w:pPr>
    <w:rPr>
      <w:rFonts w:ascii="Calibri" w:hAnsi="Calibri" w:eastAsia="宋体" w:cs="Times New Roman"/>
      <w:lang w:val="en-US" w:eastAsia="zh-CN" w:bidi="ar-SA"/>
    </w:rPr>
  </w:style>
  <w:style w:type="character" w:customStyle="1" w:styleId="24">
    <w:name w:val="font11"/>
    <w:basedOn w:val="16"/>
    <w:qFormat/>
    <w:uiPriority w:val="0"/>
    <w:rPr>
      <w:rFonts w:hint="eastAsia" w:ascii="宋体" w:hAnsi="宋体" w:eastAsia="宋体" w:cs="宋体"/>
      <w:color w:val="000000"/>
      <w:sz w:val="21"/>
      <w:szCs w:val="21"/>
      <w:u w:val="none"/>
    </w:rPr>
  </w:style>
  <w:style w:type="character" w:customStyle="1" w:styleId="25">
    <w:name w:val="批注文字 Char"/>
    <w:basedOn w:val="16"/>
    <w:link w:val="6"/>
    <w:qFormat/>
    <w:uiPriority w:val="0"/>
    <w:rPr>
      <w:rFonts w:asciiTheme="minorHAnsi" w:hAnsiTheme="minorHAnsi" w:eastAsiaTheme="minorEastAsia" w:cstheme="minorBidi"/>
      <w:kern w:val="2"/>
      <w:sz w:val="21"/>
      <w:szCs w:val="24"/>
    </w:rPr>
  </w:style>
  <w:style w:type="character" w:customStyle="1" w:styleId="26">
    <w:name w:val="批注主题 Char"/>
    <w:basedOn w:val="25"/>
    <w:link w:val="13"/>
    <w:qFormat/>
    <w:uiPriority w:val="0"/>
    <w:rPr>
      <w:rFonts w:asciiTheme="minorHAnsi" w:hAnsiTheme="minorHAnsi" w:eastAsiaTheme="minorEastAsia" w:cstheme="minorBidi"/>
      <w:b/>
      <w:bCs/>
      <w:kern w:val="2"/>
      <w:sz w:val="21"/>
      <w:szCs w:val="24"/>
    </w:rPr>
  </w:style>
  <w:style w:type="character" w:customStyle="1" w:styleId="27">
    <w:name w:val="批注框文本 Char"/>
    <w:basedOn w:val="16"/>
    <w:link w:val="7"/>
    <w:qFormat/>
    <w:uiPriority w:val="0"/>
    <w:rPr>
      <w:rFonts w:asciiTheme="minorHAnsi" w:hAnsiTheme="minorHAnsi" w:eastAsiaTheme="minorEastAsia" w:cstheme="minorBidi"/>
      <w:kern w:val="2"/>
      <w:sz w:val="18"/>
      <w:szCs w:val="18"/>
    </w:rPr>
  </w:style>
  <w:style w:type="paragraph" w:customStyle="1" w:styleId="28">
    <w:name w:val="TOC 标题1"/>
    <w:basedOn w:val="3"/>
    <w:next w:val="1"/>
    <w:unhideWhenUsed/>
    <w:qFormat/>
    <w:uiPriority w:val="39"/>
    <w:pPr>
      <w:keepNext/>
      <w:keepLines/>
      <w:widowControl/>
      <w:spacing w:before="240" w:line="259" w:lineRule="auto"/>
      <w:contextualSpacing w:val="0"/>
      <w:jc w:val="left"/>
      <w:outlineLvl w:val="9"/>
    </w:pPr>
    <w:rPr>
      <w:rFonts w:asciiTheme="majorHAnsi" w:hAnsiTheme="majorHAnsi" w:eastAsiaTheme="majorEastAsia" w:cstheme="majorBidi"/>
      <w:b w:val="0"/>
      <w:bCs w:val="0"/>
      <w:color w:val="2E75B6" w:themeColor="accent1" w:themeShade="BF"/>
      <w:sz w:val="32"/>
      <w:szCs w:val="32"/>
    </w:rPr>
  </w:style>
  <w:style w:type="paragraph" w:customStyle="1" w:styleId="29">
    <w:name w:val="WPSOffice手动目录 3"/>
    <w:qFormat/>
    <w:uiPriority w:val="0"/>
    <w:pPr>
      <w:ind w:left="400" w:leftChars="400"/>
    </w:pPr>
    <w:rPr>
      <w:rFonts w:asciiTheme="minorHAnsi" w:hAnsiTheme="minorHAnsi" w:eastAsiaTheme="minorEastAsia" w:cstheme="minorBidi"/>
      <w:lang w:val="en-US" w:eastAsia="zh-CN" w:bidi="ar-SA"/>
    </w:rPr>
  </w:style>
  <w:style w:type="paragraph" w:styleId="30">
    <w:name w:val="List Paragraph"/>
    <w:basedOn w:val="1"/>
    <w:qFormat/>
    <w:uiPriority w:val="34"/>
    <w:pPr>
      <w:ind w:firstLine="420" w:firstLineChars="200"/>
    </w:pPr>
  </w:style>
  <w:style w:type="paragraph" w:customStyle="1" w:styleId="31">
    <w:name w:val="闻政-正文段落文字"/>
    <w:basedOn w:val="1"/>
    <w:qFormat/>
    <w:uiPriority w:val="0"/>
    <w:pPr>
      <w:spacing w:line="500" w:lineRule="exact"/>
      <w:ind w:firstLine="200" w:firstLineChars="200"/>
    </w:pPr>
    <w:rPr>
      <w:rFonts w:eastAsia="仿宋_GB2312"/>
      <w:kern w:val="0"/>
      <w:sz w:val="28"/>
      <w:szCs w:val="28"/>
    </w:rPr>
  </w:style>
  <w:style w:type="paragraph" w:customStyle="1" w:styleId="32">
    <w:name w:val="闻政正文"/>
    <w:qFormat/>
    <w:uiPriority w:val="99"/>
    <w:pPr>
      <w:framePr w:wrap="around" w:vAnchor="margin" w:hAnchor="text" w:yAlign="top"/>
      <w:widowControl w:val="0"/>
      <w:spacing w:line="500" w:lineRule="exact"/>
      <w:ind w:firstLine="560"/>
      <w:jc w:val="both"/>
    </w:pPr>
    <w:rPr>
      <w:rFonts w:ascii="Arial Unicode MS" w:hAnsi="Arial Unicode MS" w:eastAsia="宋体" w:cs="Arial Unicode MS"/>
      <w:color w:val="000000"/>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5" Type="http://schemas.openxmlformats.org/officeDocument/2006/relationships/glossaryDocument" Target="glossary/document.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45.png"/><Relationship Id="rId6" Type="http://schemas.openxmlformats.org/officeDocument/2006/relationships/footer" Target="footer3.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footer" Target="footer2.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1.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e32c8c0-8eda-4123-ac18-17e499f9529b}"/>
        <w:style w:val=""/>
        <w:category>
          <w:name w:val="常规"/>
          <w:gallery w:val="placeholder"/>
        </w:category>
        <w:types>
          <w:type w:val="bbPlcHdr"/>
        </w:types>
        <w:behaviors>
          <w:behavior w:val="content"/>
        </w:behaviors>
        <w:description w:val=""/>
        <w:guid w:val="{1e32c8c0-8eda-4123-ac18-17e499f9529b}"/>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53C673-4976-4961-8BD3-B14091A252BD}">
  <ds:schemaRefs/>
</ds:datastoreItem>
</file>

<file path=docProps/app.xml><?xml version="1.0" encoding="utf-8"?>
<Properties xmlns="http://schemas.openxmlformats.org/officeDocument/2006/extended-properties" xmlns:vt="http://schemas.openxmlformats.org/officeDocument/2006/docPropsVTypes">
  <Template>Normal</Template>
  <Pages>92</Pages>
  <Words>43705</Words>
  <Characters>49058</Characters>
  <Lines>253</Lines>
  <Paragraphs>71</Paragraphs>
  <TotalTime>12</TotalTime>
  <ScaleCrop>false</ScaleCrop>
  <LinksUpToDate>false</LinksUpToDate>
  <CharactersWithSpaces>49679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Administrator.USER-20181124KW</dc:creator>
  <cp:lastModifiedBy> </cp:lastModifiedBy>
  <cp:lastPrinted>2021-10-15T00:43:00Z</cp:lastPrinted>
  <dcterms:modified xsi:type="dcterms:W3CDTF">2023-02-14T01:13:57Z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E8F64B56FA7D47B1B47C088F87F3268E</vt:lpwstr>
  </property>
</Properties>
</file>