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0" w:firstLineChars="200"/>
        <w:jc w:val="center"/>
        <w:textAlignment w:val="auto"/>
        <w:rPr>
          <w:rFonts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  <w:t>牛杜镇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  <w:t>1</w:t>
      </w:r>
      <w:r>
        <w:rPr>
          <w:rFonts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  <w:t xml:space="preserve"> 年政府信息公开工作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0" w:firstLineChars="20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3"/>
          <w:szCs w:val="43"/>
          <w:lang w:val="en-US" w:eastAsia="zh-CN" w:bidi="ar"/>
        </w:rPr>
        <w:t>年 度 报 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根据《中华人民共和国政府信息公开条例》(国务院令</w:t>
      </w: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 xml:space="preserve">第 711 号，以下简称《条例》）和国务院办公厅政府信息 与政务公开办公室《关于政府信息公开工作年度报告有关事项的通知》（国办公开办函〔2019〕60 号）要求，现公布牛杜镇人民政府 2021年政府信息公开工作年度报告。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本报告由总体情况、主动公开政府信息情况、收到和处理政府信息公开申请情况、政府信息公开行政复议及行政诉讼情况、存在的主要问题及改进情况、其他需要报告的事项等六部分组成，所列数据统计时限为2021年1月1日至2021年12 月31日。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</w:pPr>
      <w:r>
        <w:rPr>
          <w:rFonts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 xml:space="preserve">一、总体情况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 xml:space="preserve">牛杜镇坚持以习近平新时代中国特色社会主义思想为指导，全面贯彻党的十九大和十九届二中、三中、四中、五中全会精神，严格执行《条例》和中央、省、市、临猗县关于政务公开工作的部署要求，紧紧围绕做好“六稳”工作、落实“六保”任务、聚焦“六新”突破，着眼深化“放管服效”改革、优化营商环境，以公开促落实、促规范、促服务，政务公开机制建设不断健全、公开范围不断扩大、平台建设更加规范、流程全面优化，政务公开标准化规范化工作成效显著，公开能力和水平进一步提升，有力推动人民满意的服务型政府建设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1"/>
          <w:szCs w:val="31"/>
          <w:lang w:val="en-US" w:eastAsia="zh-CN" w:bidi="ar"/>
        </w:rPr>
        <w:t>1、队伍建设健全规范。</w:t>
      </w: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 xml:space="preserve">高度重视政务公开工作，镇政府主要领导、分管领导多次就政务公开工作进行研究部署、提出要求，领导组多次研究议定政务公开事项。召开了全镇政务公开工作推进会，制定印发了牛杜镇2021年政务公开工作要点、政务公开工作方案，及时调整了牛杜镇政务公开领导组；按照《政府信息公开条例》规定成立了政府信息与政务公开办公室。积极参加临猗县政务公开和政务信息业务培训，围绕短板弱项，及时对各单位进行业务指导、规范提升，政务公开工作有力有序推进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1"/>
          <w:szCs w:val="31"/>
          <w:lang w:val="en-US" w:eastAsia="zh-CN" w:bidi="ar"/>
        </w:rPr>
        <w:t>2、公开范围逐步扩大。</w:t>
      </w: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严格办文程序，制定了《公文公开属性源头认定制度》，调整优化了发文流程，对政府发文卡进行重新设计，要求文件起草单位或部门在发文时，明确拟发文件的主动公开、依申请公开、不予公开属性，确保能公开尽公开，公开属性认定不留白，属性认定不滥用，认定依据和理由充分。按照“以公开为常态、不公开为例外”原则，建立了文件属性动态调整机制，进一步扩大主动公开范围，除《条例》规定不予公开的政府信息和上级要求外，全部进行了公开。</w:t>
      </w:r>
      <w:r>
        <w:rPr>
          <w:rFonts w:ascii="楷体_GB2312" w:hAnsi="楷体_GB2312" w:eastAsia="楷体_GB2312" w:cs="楷体_GB2312"/>
          <w:color w:val="333333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2" w:firstLineChars="200"/>
        <w:jc w:val="both"/>
        <w:textAlignment w:val="auto"/>
      </w:pPr>
      <w:r>
        <w:rPr>
          <w:rFonts w:hint="eastAsia" w:ascii="仿宋_GB2312" w:hAnsi="宋体" w:eastAsia="仿宋_GB2312" w:cs="仿宋_GB2312"/>
          <w:b/>
          <w:bCs/>
          <w:color w:val="333333"/>
          <w:kern w:val="0"/>
          <w:sz w:val="31"/>
          <w:szCs w:val="31"/>
          <w:lang w:val="en-US" w:eastAsia="zh-CN" w:bidi="ar"/>
        </w:rPr>
        <w:t>3、积极回应社会关切。</w:t>
      </w: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 xml:space="preserve">完善了政务舆情回应机制，编制了应急预案，按照分级负责、责权统一的原则，进一步明确了政务舆情回应责任主体；建立完善了政务舆情收集、报告、回应等机制，明确政务舆情协调责任人，实现了上下联动、信息共享、协同处置。充分利用政府网站和政务新媒体的互动功能，进一步提升回应信息的到达率，扩大传播范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>二、主动公开政府信息情况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信息内容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本年制发件数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本年废止件数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规章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行政规范性文件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vertAlign w:val="baseline"/>
                <w:lang w:val="en-US" w:eastAsia="zh-CN"/>
              </w:rPr>
              <w:t>0</w:t>
            </w:r>
            <w:bookmarkEnd w:id="0"/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行政许可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行政处罚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行政强制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信息内容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行政事业性收费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>三、收到和处理政府信息公开申请情况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1275"/>
        <w:gridCol w:w="429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43" w:type="dxa"/>
            <w:gridSpan w:val="7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自然人</w:t>
            </w:r>
          </w:p>
        </w:tc>
        <w:tc>
          <w:tcPr>
            <w:tcW w:w="4261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法人或其他组织</w:t>
            </w:r>
          </w:p>
        </w:tc>
        <w:tc>
          <w:tcPr>
            <w:tcW w:w="853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2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机构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组织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机构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</w:t>
            </w:r>
          </w:p>
        </w:tc>
        <w:tc>
          <w:tcPr>
            <w:tcW w:w="853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42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（一）予以公开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（三）不予公开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（四）无法提供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2.没有县城信息需要制作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（五）不予处理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（六）其他处理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2.申请人逾期未按收费通知要缴纳费用、行政机关不再处理其政府信息公开申请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3.其他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27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（七）总计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9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四、结转下年度继续办理</w:t>
            </w:r>
          </w:p>
        </w:tc>
        <w:tc>
          <w:tcPr>
            <w:tcW w:w="429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3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  <w:vMerge w:val="restart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2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结果维持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结果纠正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其他结果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尚未审结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存在的主要问题有：政务公开工作制度机制还不健全</w:t>
      </w: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 xml:space="preserve">完善；一些单位和领导对政务公开工作的重要性认识不足，队伍专业化水平需进一步提高；政府门户网站集约化建设需加快推进等。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改进措施：健全完善政务公开制度机制。优化完善依申请公开、政策解读、政府网站和政务新媒体管理、发文流程、监督考核等工作制度，政务公开制度体系更加健全。下一步，我们将坚持以习近平新时代中国特色社会主义思想为指导，全面贯彻党的十九大和十九届二中、三中、四中、五中、六中全会精神，严格落实《政府信息公开条例》和中央、省、市、临猗县关于政务公开工作的部署要求，坚持以公开为常态、不公开为例外，进一步强化学习培训，完善政务公开制度体系，加强政务公开标准化规范化建设，进一步拓展政务公开的广度和深度，全面提升政务公开实效，以更加优质高效的政务环境开创牛杜镇政务公开工作新局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31"/>
          <w:szCs w:val="31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仿宋_GB2312" w:hAnsi="宋体" w:eastAsia="仿宋_GB2312" w:cs="仿宋_GB2312"/>
          <w:color w:val="333333"/>
          <w:kern w:val="0"/>
          <w:sz w:val="31"/>
          <w:szCs w:val="31"/>
          <w:lang w:val="en-US" w:eastAsia="zh-CN" w:bidi="ar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113264"/>
    <w:rsid w:val="545217DB"/>
    <w:rsid w:val="5BC10B0F"/>
    <w:rsid w:val="72A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2022-01-18T12:25:00Z</dcterms:created>
  <dc:creator>Administrator</dc:creator>
  <cp:lastModifiedBy>J.HRD</cp:lastModifiedBy>
  <dcterms:modified xsi:type="dcterms:W3CDTF">2022-01-20T02:18:57Z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5FBB966FBE374895A78FD91F68073BAF</vt:lpwstr>
  </property>
</Properties>
</file>