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left"/>
        <w:rPr>
          <w:rFonts w:hint="eastAsia" w:ascii="黑体" w:hAnsi="黑体" w:eastAsia="黑体" w:cs="黑体"/>
          <w:spacing w:val="20"/>
          <w:sz w:val="44"/>
          <w:szCs w:val="44"/>
          <w:u w:val="single"/>
          <w:lang w:val="en-US" w:eastAsia="zh-CN"/>
        </w:rPr>
      </w:pPr>
    </w:p>
    <w:p>
      <w:pPr>
        <w:spacing w:line="1520" w:lineRule="exact"/>
        <w:jc w:val="center"/>
        <w:rPr>
          <w:rFonts w:hint="eastAsia" w:ascii="黑体" w:hAnsi="黑体" w:eastAsia="黑体" w:cs="黑体"/>
          <w:spacing w:val="20"/>
          <w:sz w:val="72"/>
          <w:szCs w:val="72"/>
        </w:rPr>
      </w:pPr>
      <w:r>
        <w:rPr>
          <w:rFonts w:hint="eastAsia" w:ascii="黑体" w:hAnsi="黑体" w:eastAsia="黑体" w:cs="黑体"/>
          <w:spacing w:val="20"/>
          <w:sz w:val="72"/>
          <w:szCs w:val="72"/>
        </w:rPr>
        <w:t>城市综合执法领域基层政务公开标准目录</w:t>
      </w: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default" w:ascii="Times New Roman" w:hAnsi="Times New Roman" w:eastAsia="方正小标宋_GBK"/>
          <w:sz w:val="28"/>
          <w:szCs w:val="28"/>
          <w:lang w:val="en-US" w:eastAsia="zh-CN"/>
        </w:rPr>
      </w:pPr>
      <w:r>
        <w:rPr>
          <w:rFonts w:hint="eastAsia" w:ascii="Times New Roman" w:hAnsi="Times New Roman" w:eastAsia="方正小标宋_GBK"/>
          <w:sz w:val="28"/>
          <w:szCs w:val="28"/>
          <w:lang w:val="en-US" w:eastAsia="zh-CN"/>
        </w:rPr>
        <w:t xml:space="preserve">                              </w:t>
      </w: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楷体" w:hAnsi="楷体" w:eastAsia="楷体" w:cs="楷体"/>
          <w:sz w:val="48"/>
          <w:szCs w:val="48"/>
        </w:rPr>
      </w:pPr>
    </w:p>
    <w:p>
      <w:pPr>
        <w:jc w:val="center"/>
        <w:rPr>
          <w:rFonts w:hint="eastAsia" w:ascii="楷体" w:hAnsi="楷体" w:eastAsia="楷体" w:cs="楷体"/>
          <w:sz w:val="48"/>
          <w:szCs w:val="48"/>
        </w:rPr>
      </w:pPr>
      <w:r>
        <w:rPr>
          <w:rFonts w:hint="eastAsia" w:ascii="楷体" w:hAnsi="楷体" w:eastAsia="楷体" w:cs="楷体"/>
          <w:sz w:val="48"/>
          <w:szCs w:val="48"/>
        </w:rPr>
        <w:t>20</w:t>
      </w:r>
      <w:r>
        <w:rPr>
          <w:rFonts w:hint="eastAsia" w:ascii="楷体" w:hAnsi="楷体" w:eastAsia="楷体" w:cs="楷体"/>
          <w:sz w:val="48"/>
          <w:szCs w:val="48"/>
          <w:lang w:val="en-US" w:eastAsia="zh-CN"/>
        </w:rPr>
        <w:t>20</w:t>
      </w:r>
      <w:r>
        <w:rPr>
          <w:rFonts w:hint="eastAsia" w:ascii="楷体" w:hAnsi="楷体" w:eastAsia="楷体" w:cs="楷体"/>
          <w:sz w:val="48"/>
          <w:szCs w:val="48"/>
        </w:rPr>
        <w:t>年</w:t>
      </w:r>
      <w:r>
        <w:rPr>
          <w:rFonts w:hint="eastAsia" w:ascii="楷体" w:hAnsi="楷体" w:eastAsia="楷体" w:cs="楷体"/>
          <w:sz w:val="48"/>
          <w:szCs w:val="48"/>
          <w:lang w:val="en-US" w:eastAsia="zh-CN"/>
        </w:rPr>
        <w:t>12</w:t>
      </w:r>
      <w:bookmarkStart w:id="1" w:name="_GoBack"/>
      <w:bookmarkEnd w:id="1"/>
      <w:r>
        <w:rPr>
          <w:rFonts w:hint="eastAsia" w:ascii="楷体" w:hAnsi="楷体" w:eastAsia="楷体" w:cs="楷体"/>
          <w:sz w:val="48"/>
          <w:szCs w:val="48"/>
        </w:rPr>
        <w:t>月</w:t>
      </w:r>
    </w:p>
    <w:p>
      <w:pPr>
        <w:spacing w:line="560" w:lineRule="exact"/>
        <w:jc w:val="left"/>
        <w:rPr>
          <w:rFonts w:hint="eastAsia" w:ascii="Times New Roman" w:hAnsi="Times New Roman" w:eastAsia="方正小标宋_GBK"/>
          <w:sz w:val="48"/>
          <w:szCs w:val="48"/>
        </w:rPr>
      </w:pPr>
    </w:p>
    <w:p>
      <w:pPr>
        <w:pStyle w:val="6"/>
        <w:jc w:val="left"/>
        <w:rPr>
          <w:rStyle w:val="9"/>
          <w:rFonts w:ascii="黑体" w:hAnsi="方正小标宋_GBK" w:eastAsia="黑体"/>
          <w:sz w:val="30"/>
          <w:szCs w:val="30"/>
        </w:rPr>
        <w:sectPr>
          <w:pgSz w:w="16838" w:h="11906" w:orient="landscape"/>
          <w:pgMar w:top="737" w:right="873" w:bottom="851" w:left="873" w:header="851" w:footer="992" w:gutter="0"/>
          <w:pgNumType w:fmt="decimal"/>
          <w:cols w:space="720" w:num="1"/>
          <w:titlePg/>
          <w:docGrid w:type="lines" w:linePitch="312" w:charSpace="0"/>
        </w:sectPr>
      </w:pPr>
    </w:p>
    <w:p>
      <w:pPr>
        <w:pStyle w:val="2"/>
        <w:jc w:val="center"/>
        <w:rPr>
          <w:rFonts w:ascii="方正小标宋_GBK" w:hAnsi="方正小标宋_GBK" w:eastAsia="方正小标宋_GBK"/>
          <w:b w:val="0"/>
          <w:bCs w:val="0"/>
          <w:sz w:val="30"/>
          <w:szCs w:val="18"/>
        </w:rPr>
      </w:pPr>
      <w:bookmarkStart w:id="0" w:name="_Toc24724721"/>
      <w:r>
        <w:rPr>
          <w:rFonts w:hint="eastAsia" w:ascii="方正小标宋_GBK" w:hAnsi="方正小标宋_GBK" w:eastAsia="方正小标宋_GBK"/>
          <w:b w:val="0"/>
          <w:bCs w:val="0"/>
          <w:sz w:val="30"/>
        </w:rPr>
        <w:t>城市综合执法领域基层政务公开标准目录</w:t>
      </w:r>
      <w:bookmarkEnd w:id="0"/>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720" w:type="dxa"/>
            <w:vMerge w:val="restart"/>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市容环境卫生管理</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市容环境卫生管理</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1800" w:type="dxa"/>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对施工单位未及时清运建筑垃圾造成环境污染的或施工单位将建筑垃圾交给个人或者未经核准从事建筑垃圾运输的单位处置的处罚</w:t>
            </w:r>
          </w:p>
        </w:tc>
        <w:tc>
          <w:tcPr>
            <w:tcW w:w="1980" w:type="dxa"/>
            <w:vMerge w:val="restart"/>
            <w:shd w:val="clear" w:color="auto" w:fill="auto"/>
            <w:noWrap w:val="0"/>
            <w:vAlign w:val="center"/>
          </w:tcPr>
          <w:p>
            <w:pPr>
              <w:numPr>
                <w:ilvl w:val="0"/>
                <w:numId w:val="1"/>
              </w:num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机构职能、权责清单、执法人员名单；</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2.执法程序或行政强制流程图；</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3.执法依据；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4.行政处罚自由裁量基准；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5.咨询、监督投诉方式；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6.处罚决定；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7.救济渠道。</w:t>
            </w:r>
          </w:p>
          <w:p>
            <w:pPr>
              <w:numPr>
                <w:ilvl w:val="0"/>
                <w:numId w:val="0"/>
              </w:numPr>
              <w:rPr>
                <w:rFonts w:hint="eastAsia" w:ascii="仿宋_GB2312" w:hAnsi="仿宋_GB2312" w:eastAsia="仿宋_GB2312" w:cs="仿宋_GB2312"/>
                <w:sz w:val="18"/>
                <w:szCs w:val="18"/>
              </w:rPr>
            </w:pPr>
          </w:p>
          <w:p>
            <w:pPr>
              <w:numPr>
                <w:ilvl w:val="0"/>
                <w:numId w:val="0"/>
              </w:numPr>
              <w:rPr>
                <w:rFonts w:hint="eastAsia" w:ascii="仿宋_GB2312" w:hAnsi="仿宋_GB2312" w:eastAsia="仿宋_GB2312" w:cs="仿宋_GB2312"/>
                <w:sz w:val="18"/>
                <w:szCs w:val="18"/>
              </w:rPr>
            </w:pPr>
          </w:p>
          <w:p>
            <w:pPr>
              <w:numPr>
                <w:ilvl w:val="0"/>
                <w:numId w:val="0"/>
              </w:numPr>
              <w:rPr>
                <w:rFonts w:hint="eastAsia" w:ascii="仿宋_GB2312" w:hAnsi="仿宋_GB2312" w:eastAsia="仿宋_GB2312" w:cs="仿宋_GB2312"/>
                <w:sz w:val="18"/>
                <w:szCs w:val="18"/>
              </w:rPr>
            </w:pPr>
          </w:p>
          <w:p>
            <w:pPr>
              <w:numPr>
                <w:ilvl w:val="0"/>
                <w:numId w:val="0"/>
              </w:numPr>
              <w:rPr>
                <w:rFonts w:hint="eastAsia" w:ascii="仿宋_GB2312" w:hAnsi="仿宋_GB2312" w:eastAsia="仿宋_GB2312" w:cs="仿宋_GB2312"/>
                <w:sz w:val="18"/>
                <w:szCs w:val="18"/>
              </w:rPr>
            </w:pPr>
          </w:p>
          <w:p>
            <w:pPr>
              <w:numPr>
                <w:ilvl w:val="0"/>
                <w:numId w:val="0"/>
              </w:numPr>
              <w:rPr>
                <w:rFonts w:hint="eastAsia" w:ascii="仿宋_GB2312" w:hAnsi="仿宋_GB2312" w:eastAsia="仿宋_GB2312" w:cs="仿宋_GB2312"/>
                <w:sz w:val="18"/>
                <w:szCs w:val="18"/>
              </w:rPr>
            </w:pPr>
          </w:p>
          <w:p>
            <w:pPr>
              <w:numPr>
                <w:ilvl w:val="0"/>
                <w:numId w:val="0"/>
              </w:numPr>
              <w:rPr>
                <w:rFonts w:hint="eastAsia" w:ascii="仿宋_GB2312" w:hAnsi="仿宋_GB2312" w:eastAsia="仿宋_GB2312" w:cs="仿宋_GB2312"/>
                <w:sz w:val="18"/>
                <w:szCs w:val="18"/>
              </w:rPr>
            </w:pPr>
          </w:p>
          <w:p>
            <w:pPr>
              <w:numPr>
                <w:ilvl w:val="0"/>
                <w:numId w:val="0"/>
              </w:num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1.机构职能、权责清单、执法人员名单；</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2.执法程序或行政强制流程图；</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3.执法依据；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4.行政处罚自由裁量基准；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5.咨询、监督投诉方式；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6.处罚决定；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7.救济渠道。</w:t>
            </w:r>
          </w:p>
        </w:tc>
        <w:tc>
          <w:tcPr>
            <w:tcW w:w="1620" w:type="dxa"/>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《城市建筑垃圾管理规定》</w:t>
            </w:r>
          </w:p>
        </w:tc>
        <w:tc>
          <w:tcPr>
            <w:tcW w:w="2160" w:type="dxa"/>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城市管理行政执法部门或相关行政主管部门</w:t>
            </w:r>
          </w:p>
        </w:tc>
        <w:tc>
          <w:tcPr>
            <w:tcW w:w="1440" w:type="dxa"/>
            <w:vMerge w:val="restart"/>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■公开查阅点</w:t>
            </w:r>
          </w:p>
        </w:tc>
        <w:tc>
          <w:tcPr>
            <w:tcW w:w="54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96"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4"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shd w:val="clear" w:color="auto" w:fill="auto"/>
            <w:noWrap w:val="0"/>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720" w:type="dxa"/>
            <w:vMerge w:val="continue"/>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1800" w:type="dxa"/>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对施工单位未及时清运建筑垃圾造成环境污染的或施工单位将建筑垃圾交给个人或者未经核准从事建筑垃圾运输的单位处置的处罚</w:t>
            </w:r>
          </w:p>
        </w:tc>
        <w:tc>
          <w:tcPr>
            <w:tcW w:w="198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1620" w:type="dxa"/>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《城市建筑垃圾管理规定》</w:t>
            </w:r>
          </w:p>
        </w:tc>
        <w:tc>
          <w:tcPr>
            <w:tcW w:w="2160" w:type="dxa"/>
            <w:shd w:val="clear" w:color="auto" w:fill="auto"/>
            <w:noWrap w:val="0"/>
            <w:vAlign w:val="center"/>
          </w:tcPr>
          <w:p>
            <w:pP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54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　</w:t>
            </w:r>
          </w:p>
        </w:tc>
        <w:tc>
          <w:tcPr>
            <w:tcW w:w="596"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664"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　</w:t>
            </w:r>
          </w:p>
        </w:tc>
        <w:tc>
          <w:tcPr>
            <w:tcW w:w="54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shd w:val="clear" w:color="auto" w:fill="auto"/>
            <w:noWrap w:val="0"/>
            <w:vAlign w:val="center"/>
          </w:tcPr>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3</w:t>
            </w:r>
          </w:p>
        </w:tc>
        <w:tc>
          <w:tcPr>
            <w:tcW w:w="720" w:type="dxa"/>
            <w:vMerge w:val="continue"/>
            <w:shd w:val="clear" w:color="auto" w:fill="auto"/>
            <w:noWrap w:val="0"/>
            <w:vAlign w:val="center"/>
          </w:tcPr>
          <w:p>
            <w:pPr>
              <w:jc w:val="center"/>
              <w:rPr>
                <w:rFonts w:hint="eastAsia" w:ascii="仿宋_GB2312" w:hAnsi="仿宋_GB2312" w:eastAsia="仿宋_GB2312" w:cs="仿宋_GB2312"/>
                <w:sz w:val="18"/>
                <w:szCs w:val="18"/>
              </w:rPr>
            </w:pPr>
          </w:p>
        </w:tc>
        <w:tc>
          <w:tcPr>
            <w:tcW w:w="1800" w:type="dxa"/>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处置建筑垃圾的单位在运输建筑垃圾过程中沿途丢弃、遗撒建筑垃圾的处罚</w:t>
            </w:r>
          </w:p>
        </w:tc>
        <w:tc>
          <w:tcPr>
            <w:tcW w:w="198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1620" w:type="dxa"/>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《城市建筑垃圾管理规定》</w:t>
            </w:r>
          </w:p>
        </w:tc>
        <w:tc>
          <w:tcPr>
            <w:tcW w:w="2160" w:type="dxa"/>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54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96"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4"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trPr>
        <w:tc>
          <w:tcPr>
            <w:tcW w:w="540" w:type="dxa"/>
            <w:shd w:val="clear" w:color="auto" w:fill="auto"/>
            <w:noWrap w:val="0"/>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720" w:type="dxa"/>
            <w:vMerge w:val="continue"/>
            <w:shd w:val="clear" w:color="auto" w:fill="auto"/>
            <w:noWrap w:val="0"/>
            <w:vAlign w:val="center"/>
          </w:tcPr>
          <w:p>
            <w:pPr>
              <w:jc w:val="center"/>
              <w:rPr>
                <w:rFonts w:hint="eastAsia" w:ascii="仿宋_GB2312" w:hAnsi="仿宋_GB2312" w:eastAsia="仿宋_GB2312" w:cs="仿宋_GB2312"/>
                <w:sz w:val="18"/>
                <w:szCs w:val="18"/>
              </w:rPr>
            </w:pPr>
          </w:p>
        </w:tc>
        <w:tc>
          <w:tcPr>
            <w:tcW w:w="1800" w:type="dxa"/>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对擅自处置或超出核准范围处置建筑垃圾的处罚</w:t>
            </w:r>
          </w:p>
        </w:tc>
        <w:tc>
          <w:tcPr>
            <w:tcW w:w="198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1620" w:type="dxa"/>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《城市建筑垃圾管理规定》</w:t>
            </w:r>
          </w:p>
        </w:tc>
        <w:tc>
          <w:tcPr>
            <w:tcW w:w="2160" w:type="dxa"/>
            <w:shd w:val="clear" w:color="auto" w:fill="auto"/>
            <w:noWrap w:val="0"/>
            <w:vAlign w:val="center"/>
          </w:tcPr>
          <w:p>
            <w:pP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54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　</w:t>
            </w:r>
          </w:p>
        </w:tc>
        <w:tc>
          <w:tcPr>
            <w:tcW w:w="596"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664"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　</w:t>
            </w:r>
          </w:p>
        </w:tc>
        <w:tc>
          <w:tcPr>
            <w:tcW w:w="54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atLeast"/>
        </w:trPr>
        <w:tc>
          <w:tcPr>
            <w:tcW w:w="540" w:type="dxa"/>
            <w:shd w:val="clear" w:color="auto" w:fill="auto"/>
            <w:noWrap w:val="0"/>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720" w:type="dxa"/>
            <w:vMerge w:val="continue"/>
            <w:shd w:val="clear" w:color="auto" w:fill="auto"/>
            <w:noWrap w:val="0"/>
            <w:vAlign w:val="center"/>
          </w:tcPr>
          <w:p>
            <w:pPr>
              <w:jc w:val="center"/>
              <w:rPr>
                <w:rFonts w:hint="eastAsia" w:ascii="仿宋_GB2312" w:hAnsi="仿宋_GB2312" w:eastAsia="仿宋_GB2312" w:cs="仿宋_GB2312"/>
                <w:sz w:val="18"/>
                <w:szCs w:val="18"/>
              </w:rPr>
            </w:pPr>
          </w:p>
        </w:tc>
        <w:tc>
          <w:tcPr>
            <w:tcW w:w="1800" w:type="dxa"/>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对擅自设置大型户外广告影响市容的处罚</w:t>
            </w:r>
          </w:p>
        </w:tc>
        <w:tc>
          <w:tcPr>
            <w:tcW w:w="198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1620" w:type="dxa"/>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《城市市容和环境卫生管理条例》《山西省》</w:t>
            </w:r>
          </w:p>
        </w:tc>
        <w:tc>
          <w:tcPr>
            <w:tcW w:w="2160" w:type="dxa"/>
            <w:shd w:val="clear" w:color="auto" w:fill="auto"/>
            <w:noWrap w:val="0"/>
            <w:vAlign w:val="center"/>
          </w:tcPr>
          <w:p>
            <w:pP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仿宋_GB2312" w:eastAsia="仿宋_GB2312" w:cs="仿宋_GB2312"/>
                <w:sz w:val="18"/>
                <w:szCs w:val="18"/>
              </w:rPr>
            </w:pPr>
          </w:p>
        </w:tc>
        <w:tc>
          <w:tcPr>
            <w:tcW w:w="54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sz w:val="18"/>
                <w:szCs w:val="18"/>
              </w:rPr>
            </w:pPr>
          </w:p>
        </w:tc>
        <w:tc>
          <w:tcPr>
            <w:tcW w:w="596"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664" w:type="dxa"/>
            <w:shd w:val="clear" w:color="auto" w:fill="auto"/>
            <w:noWrap w:val="0"/>
            <w:vAlign w:val="center"/>
          </w:tcPr>
          <w:p>
            <w:pPr>
              <w:jc w:val="center"/>
              <w:rPr>
                <w:rFonts w:hint="eastAsia" w:ascii="仿宋_GB2312" w:hAnsi="仿宋_GB2312" w:eastAsia="仿宋_GB2312" w:cs="仿宋_GB2312"/>
                <w:sz w:val="18"/>
                <w:szCs w:val="18"/>
              </w:rPr>
            </w:pPr>
          </w:p>
        </w:tc>
        <w:tc>
          <w:tcPr>
            <w:tcW w:w="54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720" w:type="dxa"/>
            <w:shd w:val="clear" w:color="auto" w:fill="auto"/>
            <w:noWrap w:val="0"/>
            <w:vAlign w:val="center"/>
          </w:tcPr>
          <w:p>
            <w:pPr>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r>
    </w:tbl>
    <w:p>
      <w:pPr>
        <w:numPr>
          <w:ilvl w:val="0"/>
          <w:numId w:val="0"/>
        </w:numPr>
        <w:rPr>
          <w:rFonts w:hint="eastAsia" w:ascii="仿宋_GB2312" w:hAnsi="仿宋_GB2312" w:eastAsia="仿宋_GB2312" w:cs="仿宋_GB2312"/>
          <w:b w:val="0"/>
          <w:bCs w:val="0"/>
          <w:sz w:val="30"/>
          <w:lang w:val="en-US" w:eastAsia="zh-CN"/>
        </w:rPr>
      </w:pPr>
    </w:p>
    <w:sectPr>
      <w:footerReference r:id="rId3" w:type="default"/>
      <w:pgSz w:w="16838" w:h="11906" w:orient="landscape"/>
      <w:pgMar w:top="1803" w:right="1440" w:bottom="1803" w:left="1440"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0646"/>
    <w:multiLevelType w:val="singleLevel"/>
    <w:tmpl w:val="1F20064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635C4"/>
    <w:rsid w:val="0592683B"/>
    <w:rsid w:val="05C30EE0"/>
    <w:rsid w:val="0C464657"/>
    <w:rsid w:val="0D975474"/>
    <w:rsid w:val="0EA128D3"/>
    <w:rsid w:val="0EFB72E6"/>
    <w:rsid w:val="117B4F5B"/>
    <w:rsid w:val="16B2629C"/>
    <w:rsid w:val="191222D6"/>
    <w:rsid w:val="209D6269"/>
    <w:rsid w:val="210400AB"/>
    <w:rsid w:val="21090F99"/>
    <w:rsid w:val="26900185"/>
    <w:rsid w:val="2D714525"/>
    <w:rsid w:val="2E024920"/>
    <w:rsid w:val="2E47579B"/>
    <w:rsid w:val="302442F5"/>
    <w:rsid w:val="314B4276"/>
    <w:rsid w:val="338634EC"/>
    <w:rsid w:val="35A231ED"/>
    <w:rsid w:val="37D75460"/>
    <w:rsid w:val="39CB3CBB"/>
    <w:rsid w:val="39DE6482"/>
    <w:rsid w:val="3C8A7C26"/>
    <w:rsid w:val="3FB338FF"/>
    <w:rsid w:val="3FDC4797"/>
    <w:rsid w:val="437B4A57"/>
    <w:rsid w:val="47782886"/>
    <w:rsid w:val="494A4660"/>
    <w:rsid w:val="51550BC4"/>
    <w:rsid w:val="53114E85"/>
    <w:rsid w:val="57100830"/>
    <w:rsid w:val="578C0825"/>
    <w:rsid w:val="58612125"/>
    <w:rsid w:val="5989751A"/>
    <w:rsid w:val="5B6D7CA5"/>
    <w:rsid w:val="5DBC7E34"/>
    <w:rsid w:val="5F686926"/>
    <w:rsid w:val="605053A8"/>
    <w:rsid w:val="60796F19"/>
    <w:rsid w:val="60924CEB"/>
    <w:rsid w:val="64743B0E"/>
    <w:rsid w:val="69A57C17"/>
    <w:rsid w:val="6A647EAF"/>
    <w:rsid w:val="6DDF343F"/>
    <w:rsid w:val="6DF67A2C"/>
    <w:rsid w:val="72E63D13"/>
    <w:rsid w:val="733B3250"/>
    <w:rsid w:val="73D43994"/>
    <w:rsid w:val="7FC0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2020-11-02T01:25:00Z</dcterms:created>
  <dc:creator>Administrator</dc:creator>
  <cp:lastModifiedBy>张烨</cp:lastModifiedBy>
  <cp:lastPrinted>2020-12-22T02:37:41Z</cp:lastPrinted>
  <dcterms:modified xsi:type="dcterms:W3CDTF">2020-12-22T02:39:42Z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