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临猗县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上市挂牌后备企业申报材料目录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有关公司设立及经营许可批复文件复印件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1.拟发行人及控股股东、实际控制人简介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2.历史沿革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3.主营业务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1.公司最近三年的资产负债表、利润表、现金流量表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2.借款合同、对外担保、资产抵押等情况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3.近三年主营收入分类情况说明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4.目前适用的税收优惠及政策依据</w:t>
      </w:r>
    </w:p>
    <w:p/>
    <w:p/>
    <w:p/>
    <w:p/>
    <w:p/>
    <w:p/>
    <w:p/>
    <w:p/>
    <w:p/>
    <w:p/>
    <w:p/>
    <w:sectPr>
      <w:pgSz w:w="11906" w:h="16838"/>
      <w:pgMar w:top="2098" w:right="1474" w:bottom="1984" w:left="1587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537C"/>
    <w:rsid w:val="0DB1600D"/>
    <w:rsid w:val="1F4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2021-07-28T08:33:00Z</dcterms:created>
  <dc:creator>一株是枣树另一株也是枣树。</dc:creator>
  <cp:lastModifiedBy>一株是枣树另一株也是枣树。</cp:lastModifiedBy>
  <dcterms:modified xsi:type="dcterms:W3CDTF">2021-07-28T08:49:58Z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2C31C3C4089743118E38D3D1FB19BCA3</vt:lpwstr>
  </property>
</Properties>
</file>